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8240"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112"/>
      </w:tblGrid>
      <w:tr w:rsidR="00565620" w:rsidRPr="00720936" w14:paraId="3D754E38" w14:textId="77777777" w:rsidTr="00C7250C">
        <w:trPr>
          <w:trHeight w:val="464"/>
        </w:trPr>
        <w:tc>
          <w:tcPr>
            <w:tcW w:w="2189" w:type="dxa"/>
          </w:tcPr>
          <w:p w14:paraId="2C373CE5" w14:textId="231EBEA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JOB TITLE:</w:t>
            </w:r>
          </w:p>
        </w:tc>
        <w:tc>
          <w:tcPr>
            <w:tcW w:w="7112" w:type="dxa"/>
          </w:tcPr>
          <w:p w14:paraId="3EA43AEC" w14:textId="6C2A7E37" w:rsidR="00565620" w:rsidRPr="00070BC6" w:rsidRDefault="00F835DE" w:rsidP="00C7250C">
            <w:pPr>
              <w:rPr>
                <w:rFonts w:ascii="Brix Sans Light" w:hAnsi="Brix Sans Light"/>
                <w:b/>
                <w:bCs/>
                <w:sz w:val="22"/>
                <w:szCs w:val="22"/>
              </w:rPr>
            </w:pPr>
            <w:r w:rsidRPr="00070BC6">
              <w:rPr>
                <w:rFonts w:ascii="Brix Sans Light" w:hAnsi="Brix Sans Light"/>
                <w:b/>
                <w:bCs/>
                <w:sz w:val="22"/>
                <w:szCs w:val="22"/>
              </w:rPr>
              <w:t>CfD Counsellor- Talking Therapies</w:t>
            </w:r>
          </w:p>
        </w:tc>
      </w:tr>
      <w:tr w:rsidR="00565620" w:rsidRPr="00720936" w14:paraId="5C83AD96" w14:textId="77777777" w:rsidTr="00C7250C">
        <w:trPr>
          <w:trHeight w:val="464"/>
        </w:trPr>
        <w:tc>
          <w:tcPr>
            <w:tcW w:w="2189" w:type="dxa"/>
          </w:tcPr>
          <w:p w14:paraId="5846960E" w14:textId="00665763"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REPORTING TO:</w:t>
            </w:r>
          </w:p>
        </w:tc>
        <w:tc>
          <w:tcPr>
            <w:tcW w:w="7112" w:type="dxa"/>
          </w:tcPr>
          <w:p w14:paraId="7F96F00A" w14:textId="6BA4532C" w:rsidR="00565620" w:rsidRPr="00070BC6" w:rsidRDefault="007A352A" w:rsidP="00C7250C">
            <w:pPr>
              <w:rPr>
                <w:rFonts w:ascii="Brix Sans Light" w:hAnsi="Brix Sans Light"/>
                <w:b/>
                <w:bCs/>
                <w:sz w:val="22"/>
                <w:szCs w:val="22"/>
              </w:rPr>
            </w:pPr>
            <w:r w:rsidRPr="00070BC6">
              <w:rPr>
                <w:rFonts w:ascii="Brix Sans Light" w:hAnsi="Brix Sans Light"/>
                <w:b/>
                <w:bCs/>
                <w:sz w:val="22"/>
                <w:szCs w:val="22"/>
              </w:rPr>
              <w:t>Talking Therapies Services Manager</w:t>
            </w:r>
          </w:p>
        </w:tc>
      </w:tr>
      <w:tr w:rsidR="00565620" w:rsidRPr="00720936" w14:paraId="55C9098A" w14:textId="77777777" w:rsidTr="00C7250C">
        <w:trPr>
          <w:trHeight w:val="451"/>
        </w:trPr>
        <w:tc>
          <w:tcPr>
            <w:tcW w:w="2189" w:type="dxa"/>
          </w:tcPr>
          <w:p w14:paraId="42A73A5E" w14:textId="1F631A01" w:rsidR="00565620" w:rsidRPr="00720936" w:rsidRDefault="22DA768E" w:rsidP="00565620">
            <w:pPr>
              <w:rPr>
                <w:rFonts w:ascii="Brix Sans Light" w:hAnsi="Brix Sans Light"/>
                <w:b/>
                <w:bCs/>
                <w:sz w:val="22"/>
                <w:szCs w:val="22"/>
              </w:rPr>
            </w:pPr>
            <w:r w:rsidRPr="06B0D3C1">
              <w:rPr>
                <w:rFonts w:ascii="Brix Sans Light" w:hAnsi="Brix Sans Light"/>
                <w:b/>
                <w:bCs/>
                <w:sz w:val="22"/>
                <w:szCs w:val="22"/>
              </w:rPr>
              <w:t>RESPONSIBLE FOR</w:t>
            </w:r>
            <w:r w:rsidR="00475D93" w:rsidRPr="06B0D3C1">
              <w:rPr>
                <w:rFonts w:ascii="Brix Sans Light" w:hAnsi="Brix Sans Light"/>
                <w:b/>
                <w:bCs/>
                <w:sz w:val="22"/>
                <w:szCs w:val="22"/>
              </w:rPr>
              <w:t>:</w:t>
            </w:r>
          </w:p>
        </w:tc>
        <w:tc>
          <w:tcPr>
            <w:tcW w:w="7112" w:type="dxa"/>
          </w:tcPr>
          <w:p w14:paraId="06D5DE97" w14:textId="149FA57F" w:rsidR="00565620" w:rsidRPr="00070BC6" w:rsidRDefault="007A352A" w:rsidP="00C7250C">
            <w:pPr>
              <w:rPr>
                <w:rFonts w:ascii="Brix Sans Light" w:hAnsi="Brix Sans Light"/>
                <w:b/>
                <w:bCs/>
                <w:sz w:val="22"/>
                <w:szCs w:val="22"/>
              </w:rPr>
            </w:pPr>
            <w:r w:rsidRPr="00070BC6">
              <w:rPr>
                <w:rFonts w:ascii="Brix Sans Light" w:hAnsi="Brix Sans Light"/>
                <w:b/>
                <w:bCs/>
                <w:sz w:val="22"/>
                <w:szCs w:val="22"/>
              </w:rPr>
              <w:t>None</w:t>
            </w:r>
          </w:p>
        </w:tc>
      </w:tr>
      <w:tr w:rsidR="00565620" w:rsidRPr="00720936" w14:paraId="34CBA913" w14:textId="77777777" w:rsidTr="00C7250C">
        <w:trPr>
          <w:trHeight w:val="464"/>
        </w:trPr>
        <w:tc>
          <w:tcPr>
            <w:tcW w:w="2189" w:type="dxa"/>
          </w:tcPr>
          <w:p w14:paraId="1C7FE64D" w14:textId="1FB2918F"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HOURS:</w:t>
            </w:r>
          </w:p>
        </w:tc>
        <w:tc>
          <w:tcPr>
            <w:tcW w:w="7112" w:type="dxa"/>
          </w:tcPr>
          <w:p w14:paraId="71B2D26A" w14:textId="79714835" w:rsidR="00565620" w:rsidRPr="00070BC6" w:rsidRDefault="006D0DCB" w:rsidP="00C7250C">
            <w:pPr>
              <w:rPr>
                <w:rFonts w:ascii="Brix Sans Light" w:hAnsi="Brix Sans Light"/>
                <w:b/>
                <w:bCs/>
                <w:sz w:val="22"/>
                <w:szCs w:val="22"/>
              </w:rPr>
            </w:pPr>
            <w:r w:rsidRPr="00070BC6">
              <w:rPr>
                <w:rFonts w:ascii="Brix Sans Light" w:hAnsi="Brix Sans Light"/>
                <w:b/>
                <w:bCs/>
                <w:sz w:val="22"/>
                <w:szCs w:val="22"/>
              </w:rPr>
              <w:t>Part time/ Full time</w:t>
            </w:r>
          </w:p>
          <w:p w14:paraId="743F206B" w14:textId="77777777" w:rsidR="00565620" w:rsidRPr="00070BC6" w:rsidRDefault="00565620" w:rsidP="00C7250C">
            <w:pPr>
              <w:rPr>
                <w:rFonts w:ascii="Brix Sans Light" w:hAnsi="Brix Sans Light"/>
                <w:b/>
                <w:bCs/>
                <w:sz w:val="22"/>
                <w:szCs w:val="22"/>
              </w:rPr>
            </w:pPr>
          </w:p>
        </w:tc>
      </w:tr>
      <w:tr w:rsidR="00565620" w:rsidRPr="00720936" w14:paraId="22CC4C6A" w14:textId="77777777" w:rsidTr="00C7250C">
        <w:trPr>
          <w:trHeight w:val="464"/>
        </w:trPr>
        <w:tc>
          <w:tcPr>
            <w:tcW w:w="2189" w:type="dxa"/>
          </w:tcPr>
          <w:p w14:paraId="04220FA7" w14:textId="73CE8209"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SALARY:</w:t>
            </w:r>
          </w:p>
        </w:tc>
        <w:tc>
          <w:tcPr>
            <w:tcW w:w="7112" w:type="dxa"/>
          </w:tcPr>
          <w:p w14:paraId="272DCADD" w14:textId="341E6D45" w:rsidR="00565620" w:rsidRPr="00070BC6" w:rsidRDefault="006D0DCB" w:rsidP="00C7250C">
            <w:pPr>
              <w:rPr>
                <w:rFonts w:ascii="Brix Sans Light" w:hAnsi="Brix Sans Light"/>
                <w:b/>
                <w:bCs/>
                <w:sz w:val="22"/>
                <w:szCs w:val="22"/>
              </w:rPr>
            </w:pPr>
            <w:r w:rsidRPr="00070BC6">
              <w:rPr>
                <w:rFonts w:ascii="Brix Sans Light" w:hAnsi="Brix Sans Light"/>
                <w:b/>
                <w:bCs/>
                <w:sz w:val="22"/>
                <w:szCs w:val="22"/>
              </w:rPr>
              <w:t>£28000</w:t>
            </w:r>
          </w:p>
        </w:tc>
      </w:tr>
      <w:tr w:rsidR="00565620" w:rsidRPr="00720936" w14:paraId="5872CE4C" w14:textId="77777777" w:rsidTr="00C7250C">
        <w:trPr>
          <w:trHeight w:val="464"/>
        </w:trPr>
        <w:tc>
          <w:tcPr>
            <w:tcW w:w="2189" w:type="dxa"/>
          </w:tcPr>
          <w:p w14:paraId="129C46F7" w14:textId="6A11391A"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CONTRACT TYPE:</w:t>
            </w:r>
          </w:p>
        </w:tc>
        <w:tc>
          <w:tcPr>
            <w:tcW w:w="7112" w:type="dxa"/>
          </w:tcPr>
          <w:p w14:paraId="105B3E03" w14:textId="0E52B0A8" w:rsidR="00565620" w:rsidRPr="00070BC6" w:rsidRDefault="00565620" w:rsidP="00C7250C">
            <w:pPr>
              <w:rPr>
                <w:rFonts w:ascii="Brix Sans Light" w:hAnsi="Brix Sans Light"/>
                <w:b/>
                <w:bCs/>
                <w:sz w:val="22"/>
                <w:szCs w:val="22"/>
              </w:rPr>
            </w:pPr>
            <w:r w:rsidRPr="00070BC6">
              <w:rPr>
                <w:rFonts w:ascii="Brix Sans Light" w:hAnsi="Brix Sans Light"/>
                <w:b/>
                <w:bCs/>
                <w:sz w:val="22"/>
                <w:szCs w:val="22"/>
              </w:rPr>
              <w:t>Permanent</w:t>
            </w:r>
          </w:p>
          <w:p w14:paraId="1766A91F" w14:textId="77777777" w:rsidR="00565620" w:rsidRPr="00070BC6" w:rsidRDefault="00565620" w:rsidP="00C7250C">
            <w:pPr>
              <w:rPr>
                <w:rFonts w:ascii="Brix Sans Light" w:hAnsi="Brix Sans Light"/>
                <w:b/>
                <w:bCs/>
                <w:sz w:val="22"/>
                <w:szCs w:val="22"/>
              </w:rPr>
            </w:pPr>
          </w:p>
        </w:tc>
      </w:tr>
      <w:tr w:rsidR="00565620" w:rsidRPr="00720936" w14:paraId="07522DA0" w14:textId="77777777" w:rsidTr="00C7250C">
        <w:trPr>
          <w:trHeight w:val="464"/>
        </w:trPr>
        <w:tc>
          <w:tcPr>
            <w:tcW w:w="2189" w:type="dxa"/>
          </w:tcPr>
          <w:p w14:paraId="476110C0" w14:textId="776BE04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p>
        </w:tc>
        <w:tc>
          <w:tcPr>
            <w:tcW w:w="7112" w:type="dxa"/>
          </w:tcPr>
          <w:p w14:paraId="4C4ED51A" w14:textId="23BE18E1" w:rsidR="00565620" w:rsidRPr="00070BC6" w:rsidRDefault="006D0DCB" w:rsidP="00C7250C">
            <w:pPr>
              <w:rPr>
                <w:rFonts w:ascii="Brix Sans Light" w:hAnsi="Brix Sans Light"/>
                <w:b/>
                <w:bCs/>
                <w:sz w:val="22"/>
                <w:szCs w:val="22"/>
              </w:rPr>
            </w:pPr>
            <w:r w:rsidRPr="00070BC6">
              <w:rPr>
                <w:rFonts w:ascii="Brix Sans Light" w:hAnsi="Brix Sans Light"/>
                <w:b/>
                <w:bCs/>
                <w:sz w:val="22"/>
                <w:szCs w:val="22"/>
              </w:rPr>
              <w:t>Hertfordshire</w:t>
            </w:r>
          </w:p>
        </w:tc>
      </w:tr>
      <w:tr w:rsidR="00565620" w:rsidRPr="00720936" w14:paraId="46D6A8D9" w14:textId="77777777" w:rsidTr="00C7250C">
        <w:trPr>
          <w:trHeight w:val="60"/>
        </w:trPr>
        <w:tc>
          <w:tcPr>
            <w:tcW w:w="2189" w:type="dxa"/>
          </w:tcPr>
          <w:p w14:paraId="76AD0B2B" w14:textId="2C3ED3FD" w:rsidR="00565620" w:rsidRPr="00720936" w:rsidRDefault="00565620" w:rsidP="00565620">
            <w:pPr>
              <w:rPr>
                <w:rFonts w:ascii="Brix Sans Light" w:hAnsi="Brix Sans Light"/>
                <w:b/>
                <w:bCs/>
                <w:sz w:val="22"/>
                <w:szCs w:val="22"/>
              </w:rPr>
            </w:pPr>
          </w:p>
        </w:tc>
        <w:tc>
          <w:tcPr>
            <w:tcW w:w="7112" w:type="dxa"/>
          </w:tcPr>
          <w:p w14:paraId="773BA931" w14:textId="77777777" w:rsidR="00565620" w:rsidRPr="00720936" w:rsidRDefault="00565620" w:rsidP="00565620">
            <w:pPr>
              <w:rPr>
                <w:rFonts w:ascii="Brix Sans Light" w:hAnsi="Brix Sans Light"/>
                <w:sz w:val="22"/>
                <w:szCs w:val="22"/>
              </w:rPr>
            </w:pPr>
          </w:p>
        </w:tc>
      </w:tr>
    </w:tbl>
    <w:p w14:paraId="6312FD95" w14:textId="77777777" w:rsidR="006F6185" w:rsidRPr="00720936" w:rsidRDefault="006F6185" w:rsidP="006F6185">
      <w:pPr>
        <w:rPr>
          <w:rFonts w:ascii="Brix Sans Light" w:hAnsi="Brix Sans Light"/>
          <w:sz w:val="22"/>
          <w:szCs w:val="22"/>
        </w:rPr>
      </w:pPr>
    </w:p>
    <w:p w14:paraId="30588EC1" w14:textId="77777777" w:rsidR="00565620" w:rsidRPr="00720936" w:rsidRDefault="00565620" w:rsidP="00565620">
      <w:pPr>
        <w:rPr>
          <w:rFonts w:ascii="Brix Sans Light" w:hAnsi="Brix Sans Light"/>
          <w:sz w:val="22"/>
          <w:szCs w:val="22"/>
        </w:rPr>
      </w:pPr>
    </w:p>
    <w:p w14:paraId="506948FF" w14:textId="26C02AD0"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 xml:space="preserve"> 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Pr="00720936" w:rsidRDefault="00612A23"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t>PURPOSE OF ROLE</w:t>
      </w:r>
    </w:p>
    <w:p w14:paraId="3CA0B9BB" w14:textId="77777777" w:rsidR="00565620" w:rsidRPr="00720936" w:rsidRDefault="00565620" w:rsidP="00612A23">
      <w:pPr>
        <w:rPr>
          <w:rFonts w:ascii="Brix Sans Light" w:hAnsi="Brix Sans Light"/>
          <w:b/>
          <w:sz w:val="22"/>
          <w:szCs w:val="22"/>
        </w:rPr>
      </w:pPr>
    </w:p>
    <w:p w14:paraId="7919E1BC" w14:textId="77777777" w:rsidR="00E908A7" w:rsidRPr="00416D28" w:rsidRDefault="00E908A7" w:rsidP="00E908A7">
      <w:pPr>
        <w:spacing w:line="276" w:lineRule="auto"/>
      </w:pPr>
      <w:r w:rsidRPr="00416D28">
        <w:t>Guideposts provides a range of services designed to meet individual needs, so that each person is given an opportunity to fulfil their aspirations and maximise their potential. We seek to achieve excellence in our work and lead the way in delivering and disseminating good practice.</w:t>
      </w:r>
    </w:p>
    <w:p w14:paraId="30C2AD44" w14:textId="77777777" w:rsidR="00612A23" w:rsidRDefault="00612A23" w:rsidP="00612A23">
      <w:pPr>
        <w:rPr>
          <w:rFonts w:ascii="Brix Sans Light" w:hAnsi="Brix Sans Light"/>
          <w:sz w:val="22"/>
          <w:szCs w:val="22"/>
        </w:rPr>
      </w:pPr>
    </w:p>
    <w:p w14:paraId="3988A8C4" w14:textId="77777777" w:rsidR="007E75F3" w:rsidRDefault="007E75F3" w:rsidP="007E75F3">
      <w:pPr>
        <w:pStyle w:val="ListParagraph"/>
        <w:numPr>
          <w:ilvl w:val="0"/>
          <w:numId w:val="8"/>
        </w:numPr>
      </w:pPr>
      <w:r>
        <w:t xml:space="preserve">Guideposts counselling service provides evidence-based Counselling for </w:t>
      </w:r>
      <w:bookmarkStart w:id="0" w:name="_Hlk206415221"/>
      <w:r>
        <w:t>Depression (CfD) in line with NICE guidance to people from age 18+ who are experiencing depression and meet suitability criteria to benefit from Talking Therapies.</w:t>
      </w:r>
    </w:p>
    <w:p w14:paraId="4ABF410B" w14:textId="77777777" w:rsidR="007E75F3" w:rsidRPr="00A10A83" w:rsidRDefault="007E75F3" w:rsidP="007E75F3">
      <w:pPr>
        <w:spacing w:line="276" w:lineRule="auto"/>
        <w:ind w:left="340"/>
        <w:rPr>
          <w:rFonts w:cs="Poppins"/>
          <w:color w:val="111111"/>
          <w:shd w:val="clear" w:color="auto" w:fill="FFFFFF"/>
        </w:rPr>
      </w:pPr>
    </w:p>
    <w:p w14:paraId="262F14AB" w14:textId="77777777" w:rsidR="007E75F3" w:rsidRPr="007E75F3" w:rsidRDefault="007E75F3" w:rsidP="007E75F3">
      <w:pPr>
        <w:pStyle w:val="ListParagraph"/>
        <w:numPr>
          <w:ilvl w:val="0"/>
          <w:numId w:val="8"/>
        </w:numPr>
        <w:rPr>
          <w:rStyle w:val="Strong"/>
          <w:rFonts w:cs="Poppins"/>
          <w:b w:val="0"/>
          <w:bCs w:val="0"/>
          <w:color w:val="111111"/>
          <w:shd w:val="clear" w:color="auto" w:fill="FFFFFF"/>
        </w:rPr>
      </w:pPr>
      <w:r>
        <w:t xml:space="preserve">Guideposts is commissioned by Hertfordshire County Council as one of the providers of Counselling for Depression (CfD) for Hertfordshire NHS Talking Therapies. </w:t>
      </w:r>
      <w:r w:rsidRPr="007E75F3">
        <w:rPr>
          <w:rStyle w:val="Strong"/>
          <w:rFonts w:cs="Poppins"/>
          <w:color w:val="111111"/>
          <w:shd w:val="clear" w:color="auto" w:fill="FFFFFF"/>
        </w:rPr>
        <w:t>CfD is a short-term high intensity evidence-based treatment recommended by NICE guidelines, for people experiencing mild to moderate depression.</w:t>
      </w:r>
    </w:p>
    <w:p w14:paraId="7738BD82" w14:textId="77777777" w:rsidR="007E75F3" w:rsidRPr="001D07CE" w:rsidRDefault="007E75F3" w:rsidP="007E75F3">
      <w:pPr>
        <w:spacing w:line="276" w:lineRule="auto"/>
        <w:ind w:left="340"/>
        <w:rPr>
          <w:rFonts w:cs="Poppins"/>
          <w:b/>
          <w:bCs/>
          <w:shd w:val="clear" w:color="auto" w:fill="FFFFFF"/>
        </w:rPr>
      </w:pPr>
    </w:p>
    <w:p w14:paraId="56CB18D0" w14:textId="77777777" w:rsidR="007E75F3" w:rsidRPr="007E75F3" w:rsidRDefault="007E75F3" w:rsidP="007E75F3">
      <w:pPr>
        <w:pStyle w:val="ListParagraph"/>
        <w:numPr>
          <w:ilvl w:val="0"/>
          <w:numId w:val="8"/>
        </w:numPr>
        <w:rPr>
          <w:shd w:val="clear" w:color="auto" w:fill="FFFFFF"/>
        </w:rPr>
      </w:pPr>
      <w:r w:rsidRPr="007E75F3">
        <w:rPr>
          <w:rFonts w:ascii="Aptos" w:hAnsi="Aptos" w:cs="Segoe UI"/>
        </w:rPr>
        <w:t xml:space="preserve">Guideposts Talking Therapies service provides a confidential and accessible service to people referred by HPFT SPA/The Wellbeing Service (East and North Hertfordshire) and GPs (South and West Hertfordshire). People will be </w:t>
      </w:r>
      <w:r w:rsidRPr="00FE0BAE">
        <w:t xml:space="preserve">offered 6 to 10 sessions of </w:t>
      </w:r>
      <w:r>
        <w:t xml:space="preserve">CfD </w:t>
      </w:r>
      <w:r w:rsidRPr="00FE0BAE">
        <w:t>with options to extend if needed.</w:t>
      </w:r>
    </w:p>
    <w:p w14:paraId="4883D5AE" w14:textId="77777777" w:rsidR="007E75F3" w:rsidRDefault="007E75F3" w:rsidP="007E75F3">
      <w:pPr>
        <w:spacing w:line="276" w:lineRule="auto"/>
      </w:pPr>
    </w:p>
    <w:p w14:paraId="4932E84F" w14:textId="77777777" w:rsidR="007E75F3" w:rsidRDefault="007E75F3" w:rsidP="007E75F3">
      <w:pPr>
        <w:spacing w:line="276" w:lineRule="auto"/>
        <w:rPr>
          <w:rFonts w:cstheme="minorHAnsi"/>
          <w:b/>
          <w:bCs/>
          <w:color w:val="000000" w:themeColor="text1"/>
        </w:rPr>
      </w:pPr>
    </w:p>
    <w:p w14:paraId="4106F458" w14:textId="77777777" w:rsidR="007E75F3" w:rsidRDefault="007E75F3" w:rsidP="007E75F3">
      <w:pPr>
        <w:spacing w:line="276" w:lineRule="auto"/>
        <w:rPr>
          <w:rFonts w:cstheme="minorHAnsi"/>
          <w:b/>
          <w:bCs/>
          <w:color w:val="000000" w:themeColor="text1"/>
        </w:rPr>
      </w:pPr>
      <w:r w:rsidRPr="00680F38">
        <w:rPr>
          <w:rFonts w:cstheme="minorHAnsi"/>
          <w:b/>
          <w:bCs/>
          <w:color w:val="000000" w:themeColor="text1"/>
        </w:rPr>
        <w:t xml:space="preserve">Central and foundational elements of the service include: </w:t>
      </w:r>
    </w:p>
    <w:p w14:paraId="42D89F0C" w14:textId="77777777" w:rsidR="007E75F3" w:rsidRDefault="007E75F3" w:rsidP="007E75F3">
      <w:pPr>
        <w:spacing w:line="276" w:lineRule="auto"/>
        <w:rPr>
          <w:rFonts w:cstheme="minorHAnsi"/>
          <w:b/>
          <w:bCs/>
          <w:color w:val="000000" w:themeColor="text1"/>
        </w:rPr>
      </w:pPr>
    </w:p>
    <w:p w14:paraId="0B5A695A"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 xml:space="preserve">Consistency.  </w:t>
      </w:r>
    </w:p>
    <w:p w14:paraId="26885AF1"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Privacy.</w:t>
      </w:r>
    </w:p>
    <w:p w14:paraId="5815A0B2" w14:textId="77777777" w:rsidR="007E75F3" w:rsidRPr="00046B48" w:rsidRDefault="007E75F3" w:rsidP="007E75F3">
      <w:pPr>
        <w:pStyle w:val="ListParagraph"/>
        <w:numPr>
          <w:ilvl w:val="0"/>
          <w:numId w:val="7"/>
        </w:numPr>
        <w:spacing w:after="0"/>
        <w:rPr>
          <w:rFonts w:cstheme="minorHAnsi"/>
          <w:color w:val="000000" w:themeColor="text1"/>
        </w:rPr>
      </w:pPr>
      <w:r w:rsidRPr="00046B48">
        <w:rPr>
          <w:rFonts w:cstheme="minorHAnsi"/>
          <w:color w:val="000000" w:themeColor="text1"/>
        </w:rPr>
        <w:t xml:space="preserve">Inclusivity.  </w:t>
      </w:r>
    </w:p>
    <w:p w14:paraId="50C2C200" w14:textId="77777777" w:rsidR="007E75F3" w:rsidRPr="00046B48" w:rsidRDefault="007E75F3" w:rsidP="007E75F3">
      <w:pPr>
        <w:pStyle w:val="ListParagraph"/>
        <w:numPr>
          <w:ilvl w:val="0"/>
          <w:numId w:val="7"/>
        </w:numPr>
        <w:spacing w:after="0"/>
        <w:rPr>
          <w:rFonts w:cstheme="minorHAnsi"/>
          <w:color w:val="000000" w:themeColor="text1"/>
        </w:rPr>
      </w:pPr>
      <w:r w:rsidRPr="00046B48">
        <w:rPr>
          <w:rFonts w:cstheme="minorHAnsi"/>
          <w:color w:val="000000" w:themeColor="text1"/>
        </w:rPr>
        <w:t xml:space="preserve">Person centred.  </w:t>
      </w:r>
    </w:p>
    <w:p w14:paraId="5A996512"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 xml:space="preserve">Timely </w:t>
      </w:r>
    </w:p>
    <w:p w14:paraId="49C75308"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 xml:space="preserve">Accessibility   </w:t>
      </w:r>
    </w:p>
    <w:p w14:paraId="7EC93E88" w14:textId="77777777" w:rsidR="007E75F3" w:rsidRPr="00046B48" w:rsidRDefault="007E75F3" w:rsidP="007E75F3">
      <w:pPr>
        <w:pStyle w:val="ListParagraph"/>
        <w:numPr>
          <w:ilvl w:val="0"/>
          <w:numId w:val="7"/>
        </w:numPr>
        <w:spacing w:after="0"/>
        <w:rPr>
          <w:rFonts w:cstheme="minorHAnsi"/>
          <w:color w:val="000000" w:themeColor="text1"/>
        </w:rPr>
      </w:pPr>
      <w:r w:rsidRPr="00046B48">
        <w:rPr>
          <w:rFonts w:cstheme="minorHAnsi"/>
          <w:color w:val="000000" w:themeColor="text1"/>
        </w:rPr>
        <w:t xml:space="preserve">Flexibility.  </w:t>
      </w:r>
    </w:p>
    <w:p w14:paraId="0970E570"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 xml:space="preserve">Collaborative.  </w:t>
      </w:r>
    </w:p>
    <w:p w14:paraId="4B1EC13E" w14:textId="77777777" w:rsidR="007E75F3" w:rsidRPr="00046B48" w:rsidRDefault="007E75F3" w:rsidP="007E75F3">
      <w:pPr>
        <w:pStyle w:val="ListParagraph"/>
        <w:numPr>
          <w:ilvl w:val="0"/>
          <w:numId w:val="7"/>
        </w:numPr>
        <w:spacing w:after="0"/>
        <w:rPr>
          <w:color w:val="000000" w:themeColor="text1"/>
        </w:rPr>
      </w:pPr>
      <w:r w:rsidRPr="00046B48">
        <w:rPr>
          <w:color w:val="000000" w:themeColor="text1"/>
        </w:rPr>
        <w:t xml:space="preserve">Evidence based    </w:t>
      </w:r>
    </w:p>
    <w:p w14:paraId="75E85344" w14:textId="77777777" w:rsidR="007E75F3" w:rsidRDefault="007E75F3" w:rsidP="007E75F3">
      <w:pPr>
        <w:spacing w:line="276" w:lineRule="auto"/>
        <w:rPr>
          <w:rFonts w:cstheme="minorHAnsi"/>
          <w:color w:val="000000" w:themeColor="text1"/>
        </w:rPr>
      </w:pPr>
    </w:p>
    <w:p w14:paraId="6CCF5F8C" w14:textId="77777777" w:rsidR="007E75F3" w:rsidRDefault="007E75F3" w:rsidP="007E75F3">
      <w:pPr>
        <w:spacing w:line="276" w:lineRule="auto"/>
        <w:rPr>
          <w:rFonts w:cstheme="minorHAnsi"/>
          <w:b/>
          <w:bCs/>
          <w:color w:val="000000" w:themeColor="text1"/>
        </w:rPr>
      </w:pPr>
      <w:r w:rsidRPr="00680F38">
        <w:rPr>
          <w:rFonts w:cstheme="minorHAnsi"/>
          <w:b/>
          <w:bCs/>
          <w:color w:val="000000" w:themeColor="text1"/>
        </w:rPr>
        <w:t xml:space="preserve">Key features of support provided by the service include: </w:t>
      </w:r>
    </w:p>
    <w:p w14:paraId="6A9163D6" w14:textId="77777777" w:rsidR="007E75F3" w:rsidRPr="00680F38" w:rsidRDefault="007E75F3" w:rsidP="007E75F3">
      <w:pPr>
        <w:spacing w:line="276" w:lineRule="auto"/>
        <w:rPr>
          <w:rFonts w:cstheme="minorHAnsi"/>
          <w:b/>
          <w:bCs/>
          <w:color w:val="000000" w:themeColor="text1"/>
        </w:rPr>
      </w:pPr>
    </w:p>
    <w:p w14:paraId="66AFEAD2" w14:textId="77777777" w:rsidR="007E75F3" w:rsidRPr="007E75F3" w:rsidRDefault="007E75F3" w:rsidP="007E75F3">
      <w:pPr>
        <w:pStyle w:val="ListParagraph"/>
        <w:numPr>
          <w:ilvl w:val="0"/>
          <w:numId w:val="9"/>
        </w:numPr>
        <w:rPr>
          <w:color w:val="000000" w:themeColor="text1"/>
        </w:rPr>
      </w:pPr>
      <w:r w:rsidRPr="007E75F3">
        <w:rPr>
          <w:color w:val="000000" w:themeColor="text1"/>
        </w:rPr>
        <w:t>Confidential</w:t>
      </w:r>
    </w:p>
    <w:p w14:paraId="05D07194" w14:textId="77777777" w:rsidR="007E75F3" w:rsidRPr="007E75F3" w:rsidRDefault="007E75F3" w:rsidP="007E75F3">
      <w:pPr>
        <w:pStyle w:val="ListParagraph"/>
        <w:numPr>
          <w:ilvl w:val="0"/>
          <w:numId w:val="9"/>
        </w:numPr>
        <w:rPr>
          <w:color w:val="000000" w:themeColor="text1"/>
        </w:rPr>
      </w:pPr>
      <w:r w:rsidRPr="007E75F3">
        <w:rPr>
          <w:color w:val="000000" w:themeColor="text1"/>
        </w:rPr>
        <w:t xml:space="preserve">Non-stigmatising  </w:t>
      </w:r>
    </w:p>
    <w:p w14:paraId="28A1F4D6" w14:textId="77777777" w:rsidR="007E75F3" w:rsidRPr="007E75F3" w:rsidRDefault="007E75F3" w:rsidP="007E75F3">
      <w:pPr>
        <w:pStyle w:val="ListParagraph"/>
        <w:numPr>
          <w:ilvl w:val="0"/>
          <w:numId w:val="9"/>
        </w:numPr>
        <w:rPr>
          <w:rFonts w:cstheme="minorHAnsi"/>
          <w:color w:val="000000" w:themeColor="text1"/>
        </w:rPr>
      </w:pPr>
      <w:r w:rsidRPr="007E75F3">
        <w:rPr>
          <w:rFonts w:cstheme="minorHAnsi"/>
          <w:color w:val="000000" w:themeColor="text1"/>
        </w:rPr>
        <w:t xml:space="preserve">Individualised  </w:t>
      </w:r>
    </w:p>
    <w:p w14:paraId="683A86D0" w14:textId="77777777" w:rsidR="007E75F3" w:rsidRPr="007E75F3" w:rsidRDefault="007E75F3" w:rsidP="007E75F3">
      <w:pPr>
        <w:pStyle w:val="ListParagraph"/>
        <w:numPr>
          <w:ilvl w:val="0"/>
          <w:numId w:val="9"/>
        </w:numPr>
        <w:rPr>
          <w:rFonts w:cstheme="minorHAnsi"/>
          <w:color w:val="000000" w:themeColor="text1"/>
        </w:rPr>
      </w:pPr>
      <w:r w:rsidRPr="007E75F3">
        <w:rPr>
          <w:rFonts w:cstheme="minorHAnsi"/>
          <w:color w:val="000000" w:themeColor="text1"/>
        </w:rPr>
        <w:t xml:space="preserve">Compassionate  </w:t>
      </w:r>
    </w:p>
    <w:p w14:paraId="2852C7EF" w14:textId="77777777" w:rsidR="007E75F3" w:rsidRPr="007E75F3" w:rsidRDefault="007E75F3" w:rsidP="007E75F3">
      <w:pPr>
        <w:pStyle w:val="ListParagraph"/>
        <w:numPr>
          <w:ilvl w:val="0"/>
          <w:numId w:val="9"/>
        </w:numPr>
        <w:rPr>
          <w:rFonts w:cstheme="minorHAnsi"/>
          <w:color w:val="000000" w:themeColor="text1"/>
        </w:rPr>
      </w:pPr>
      <w:r w:rsidRPr="007E75F3">
        <w:rPr>
          <w:rFonts w:cstheme="minorHAnsi"/>
          <w:color w:val="000000" w:themeColor="text1"/>
        </w:rPr>
        <w:t xml:space="preserve">Holistic  </w:t>
      </w:r>
    </w:p>
    <w:p w14:paraId="0ACCE4A8" w14:textId="77777777" w:rsidR="007E75F3" w:rsidRPr="007E75F3" w:rsidRDefault="007E75F3" w:rsidP="007E75F3">
      <w:pPr>
        <w:pStyle w:val="ListParagraph"/>
        <w:numPr>
          <w:ilvl w:val="0"/>
          <w:numId w:val="9"/>
        </w:numPr>
        <w:rPr>
          <w:rFonts w:cstheme="minorHAnsi"/>
          <w:color w:val="000000" w:themeColor="text1"/>
        </w:rPr>
      </w:pPr>
      <w:r w:rsidRPr="007E75F3">
        <w:rPr>
          <w:rFonts w:cstheme="minorHAnsi"/>
          <w:color w:val="000000" w:themeColor="text1"/>
        </w:rPr>
        <w:t xml:space="preserve">Trauma-informed  </w:t>
      </w:r>
    </w:p>
    <w:p w14:paraId="716CC9C9" w14:textId="77777777" w:rsidR="007E75F3" w:rsidRPr="007E75F3" w:rsidRDefault="007E75F3" w:rsidP="007E75F3">
      <w:pPr>
        <w:pStyle w:val="ListParagraph"/>
        <w:numPr>
          <w:ilvl w:val="0"/>
          <w:numId w:val="9"/>
        </w:numPr>
        <w:rPr>
          <w:color w:val="000000" w:themeColor="text1"/>
        </w:rPr>
      </w:pPr>
      <w:r w:rsidRPr="007E75F3">
        <w:rPr>
          <w:color w:val="000000" w:themeColor="text1"/>
        </w:rPr>
        <w:t xml:space="preserve">Integrative  </w:t>
      </w:r>
    </w:p>
    <w:p w14:paraId="75860C2B" w14:textId="77777777" w:rsidR="007E75F3" w:rsidRPr="007E75F3" w:rsidRDefault="007E75F3" w:rsidP="007E75F3">
      <w:pPr>
        <w:pStyle w:val="ListParagraph"/>
        <w:numPr>
          <w:ilvl w:val="0"/>
          <w:numId w:val="9"/>
        </w:numPr>
        <w:rPr>
          <w:color w:val="000000" w:themeColor="text1"/>
        </w:rPr>
      </w:pPr>
      <w:r w:rsidRPr="007E75F3">
        <w:rPr>
          <w:color w:val="000000" w:themeColor="text1"/>
        </w:rPr>
        <w:t xml:space="preserve">Relational  </w:t>
      </w:r>
    </w:p>
    <w:p w14:paraId="328DBA0B" w14:textId="77777777" w:rsidR="007E75F3" w:rsidRPr="007E75F3" w:rsidRDefault="007E75F3" w:rsidP="007E75F3">
      <w:pPr>
        <w:pStyle w:val="ListParagraph"/>
        <w:numPr>
          <w:ilvl w:val="0"/>
          <w:numId w:val="9"/>
        </w:numPr>
        <w:rPr>
          <w:color w:val="000000" w:themeColor="text1"/>
        </w:rPr>
      </w:pPr>
      <w:r w:rsidRPr="007E75F3">
        <w:rPr>
          <w:color w:val="000000" w:themeColor="text1"/>
        </w:rPr>
        <w:t xml:space="preserve">Short-term   </w:t>
      </w:r>
    </w:p>
    <w:bookmarkEnd w:id="0"/>
    <w:p w14:paraId="02270B8C" w14:textId="77777777" w:rsidR="007E75F3" w:rsidRDefault="007E75F3" w:rsidP="007E75F3">
      <w:pPr>
        <w:spacing w:line="276" w:lineRule="auto"/>
        <w:rPr>
          <w:color w:val="000000" w:themeColor="text1"/>
        </w:rPr>
      </w:pPr>
    </w:p>
    <w:p w14:paraId="377DCB1E" w14:textId="0C1140BA" w:rsidR="00612A23" w:rsidRPr="008D1674" w:rsidRDefault="00565620" w:rsidP="00612A23">
      <w:pPr>
        <w:rPr>
          <w:rFonts w:ascii="Brix Sans Light" w:hAnsi="Brix Sans Light" w:cstheme="majorHAnsi"/>
          <w:b/>
          <w:bCs/>
          <w:sz w:val="22"/>
          <w:szCs w:val="22"/>
        </w:rPr>
      </w:pPr>
      <w:r w:rsidRPr="00720936">
        <w:rPr>
          <w:rFonts w:ascii="Brix Sans Light" w:hAnsi="Brix Sans Light" w:cstheme="majorHAnsi"/>
          <w:b/>
          <w:bCs/>
          <w:sz w:val="22"/>
          <w:szCs w:val="22"/>
        </w:rPr>
        <w:t>KEY REPONSIBILITIES</w:t>
      </w:r>
    </w:p>
    <w:p w14:paraId="23094042" w14:textId="77777777" w:rsidR="007374C9" w:rsidRDefault="007374C9" w:rsidP="007374C9">
      <w:pPr>
        <w:pStyle w:val="ListParagraph"/>
        <w:numPr>
          <w:ilvl w:val="0"/>
          <w:numId w:val="4"/>
        </w:numPr>
        <w:spacing w:after="0"/>
      </w:pPr>
      <w:r w:rsidRPr="008D7FC3">
        <w:t>Ensure compliance with legal, ethnical, regulatory requirements.</w:t>
      </w:r>
    </w:p>
    <w:p w14:paraId="34F2FB92" w14:textId="77777777" w:rsidR="007374C9" w:rsidRDefault="007374C9" w:rsidP="007374C9">
      <w:pPr>
        <w:pStyle w:val="ListParagraph"/>
        <w:numPr>
          <w:ilvl w:val="0"/>
          <w:numId w:val="4"/>
        </w:numPr>
        <w:spacing w:after="0"/>
      </w:pPr>
      <w:r>
        <w:t>Use clinical supervision to reflect on and improve professional practice.</w:t>
      </w:r>
    </w:p>
    <w:p w14:paraId="68A9D07A" w14:textId="77777777" w:rsidR="007374C9" w:rsidRDefault="007374C9" w:rsidP="007374C9">
      <w:pPr>
        <w:pStyle w:val="ListParagraph"/>
        <w:numPr>
          <w:ilvl w:val="0"/>
          <w:numId w:val="4"/>
        </w:numPr>
        <w:spacing w:after="0"/>
      </w:pPr>
      <w:r>
        <w:t xml:space="preserve">Participate in reflective practice, teaching and learning opportunities. </w:t>
      </w:r>
    </w:p>
    <w:p w14:paraId="55AFBA40" w14:textId="77777777" w:rsidR="007374C9" w:rsidRDefault="007374C9" w:rsidP="007374C9">
      <w:pPr>
        <w:pStyle w:val="ListParagraph"/>
        <w:numPr>
          <w:ilvl w:val="0"/>
          <w:numId w:val="4"/>
        </w:numPr>
        <w:spacing w:after="0"/>
      </w:pPr>
      <w:r>
        <w:lastRenderedPageBreak/>
        <w:t>Participate in individual performance reviews and respond to agreed objectives.</w:t>
      </w:r>
    </w:p>
    <w:p w14:paraId="51891299" w14:textId="77777777" w:rsidR="007374C9" w:rsidRDefault="007374C9" w:rsidP="007374C9">
      <w:pPr>
        <w:pStyle w:val="ListParagraph"/>
        <w:numPr>
          <w:ilvl w:val="0"/>
          <w:numId w:val="4"/>
        </w:numPr>
        <w:spacing w:after="0"/>
      </w:pPr>
      <w:r>
        <w:t>Contribute to the development of best practice within the service</w:t>
      </w:r>
    </w:p>
    <w:p w14:paraId="129B6043" w14:textId="77777777" w:rsidR="007374C9" w:rsidRDefault="007374C9" w:rsidP="007374C9">
      <w:pPr>
        <w:pStyle w:val="ListParagraph"/>
        <w:numPr>
          <w:ilvl w:val="0"/>
          <w:numId w:val="4"/>
        </w:numPr>
        <w:spacing w:after="0"/>
      </w:pPr>
      <w:r>
        <w:t>Ensure all duties are carried out in a manner which promotes equality and diversity.</w:t>
      </w:r>
    </w:p>
    <w:p w14:paraId="6DC8944C" w14:textId="77777777" w:rsidR="007374C9" w:rsidRPr="008D7FC3" w:rsidRDefault="007374C9" w:rsidP="007374C9">
      <w:pPr>
        <w:pStyle w:val="ListParagraph"/>
        <w:numPr>
          <w:ilvl w:val="0"/>
          <w:numId w:val="4"/>
        </w:numPr>
        <w:spacing w:after="0"/>
      </w:pPr>
      <w:r w:rsidRPr="008D7FC3">
        <w:rPr>
          <w:rFonts w:cstheme="minorHAnsi"/>
          <w:color w:val="000000" w:themeColor="text1"/>
        </w:rPr>
        <w:t>Work autonomously, and under own initiative to manage a range of priorities across competing agendas.</w:t>
      </w:r>
    </w:p>
    <w:p w14:paraId="42EE1D06" w14:textId="77777777" w:rsidR="007374C9" w:rsidRPr="008D7FC3" w:rsidRDefault="007374C9" w:rsidP="007374C9">
      <w:pPr>
        <w:pStyle w:val="ListParagraph"/>
        <w:numPr>
          <w:ilvl w:val="0"/>
          <w:numId w:val="4"/>
        </w:numPr>
        <w:shd w:val="clear" w:color="auto" w:fill="FFFFFF" w:themeFill="background1"/>
        <w:spacing w:after="0"/>
        <w:rPr>
          <w:rFonts w:eastAsia="Calibri" w:cs="Calibri"/>
        </w:rPr>
      </w:pPr>
      <w:r w:rsidRPr="008D7FC3">
        <w:rPr>
          <w:rFonts w:eastAsia="Calibri" w:cs="Calibri"/>
        </w:rPr>
        <w:t>Use a broad theoretical knowledge to critically evaluate and interpret complex information.</w:t>
      </w:r>
    </w:p>
    <w:p w14:paraId="43DC3AEF" w14:textId="77777777" w:rsidR="007374C9" w:rsidRPr="00741E03" w:rsidRDefault="007374C9" w:rsidP="007374C9">
      <w:pPr>
        <w:pStyle w:val="ListParagraph"/>
        <w:numPr>
          <w:ilvl w:val="0"/>
          <w:numId w:val="4"/>
        </w:numPr>
        <w:spacing w:after="0"/>
        <w:rPr>
          <w:rFonts w:eastAsia="Calibri" w:cs="Calibri"/>
        </w:rPr>
      </w:pPr>
      <w:r w:rsidRPr="21FDE55F">
        <w:rPr>
          <w:rFonts w:eastAsia="Calibri" w:cs="Calibri"/>
        </w:rPr>
        <w:t xml:space="preserve">Be </w:t>
      </w:r>
      <w:r>
        <w:t>research aware and able to contribute to the research projects where appropriate.</w:t>
      </w:r>
    </w:p>
    <w:p w14:paraId="72CDAECC" w14:textId="77777777" w:rsidR="007374C9" w:rsidRPr="00741E03" w:rsidRDefault="007374C9" w:rsidP="007374C9">
      <w:pPr>
        <w:pStyle w:val="ListParagraph"/>
        <w:numPr>
          <w:ilvl w:val="0"/>
          <w:numId w:val="4"/>
        </w:numPr>
        <w:spacing w:after="0"/>
        <w:rPr>
          <w:rFonts w:eastAsia="Calibri" w:cs="Calibri"/>
        </w:rPr>
      </w:pPr>
      <w:r w:rsidRPr="21FDE55F">
        <w:rPr>
          <w:rFonts w:eastAsia="Calibri" w:cs="Calibri"/>
        </w:rPr>
        <w:t xml:space="preserve">Develop professional working relationships with colleagues and across the organisation. </w:t>
      </w:r>
    </w:p>
    <w:p w14:paraId="57B7CF5B" w14:textId="77777777" w:rsidR="007374C9" w:rsidRPr="00741E03" w:rsidRDefault="007374C9" w:rsidP="007374C9">
      <w:pPr>
        <w:pStyle w:val="ListParagraph"/>
        <w:numPr>
          <w:ilvl w:val="0"/>
          <w:numId w:val="4"/>
        </w:numPr>
        <w:shd w:val="clear" w:color="auto" w:fill="FFFFFF" w:themeFill="background1"/>
        <w:spacing w:after="0"/>
        <w:rPr>
          <w:rFonts w:eastAsia="Calibri" w:cs="Calibri"/>
        </w:rPr>
      </w:pPr>
      <w:r w:rsidRPr="00FB325A">
        <w:rPr>
          <w:rFonts w:eastAsia="Calibri" w:cs="Calibri"/>
        </w:rPr>
        <w:t>Support the use of data to reflect, guide and improve practice and performance</w:t>
      </w:r>
      <w:r w:rsidRPr="00741E03">
        <w:rPr>
          <w:rFonts w:eastAsia="Calibri" w:cs="Calibri"/>
        </w:rPr>
        <w:t>.</w:t>
      </w:r>
    </w:p>
    <w:p w14:paraId="419AAAA7" w14:textId="77777777" w:rsidR="007374C9" w:rsidRPr="00741E03" w:rsidRDefault="007374C9" w:rsidP="007374C9">
      <w:pPr>
        <w:pStyle w:val="ListParagraph"/>
        <w:numPr>
          <w:ilvl w:val="0"/>
          <w:numId w:val="4"/>
        </w:numPr>
        <w:shd w:val="clear" w:color="auto" w:fill="FFFFFF" w:themeFill="background1"/>
        <w:spacing w:after="0"/>
        <w:rPr>
          <w:rFonts w:eastAsia="Calibri" w:cs="Calibri"/>
        </w:rPr>
      </w:pPr>
      <w:r w:rsidRPr="00741E03">
        <w:t>Keep current records in relation to CPD and ensure personal development plan includes the development of specialist knowledge.</w:t>
      </w:r>
    </w:p>
    <w:p w14:paraId="6591A547" w14:textId="77777777" w:rsidR="007374C9" w:rsidRPr="00741E03" w:rsidRDefault="007374C9" w:rsidP="007374C9">
      <w:pPr>
        <w:pStyle w:val="ListParagraph"/>
        <w:numPr>
          <w:ilvl w:val="0"/>
          <w:numId w:val="4"/>
        </w:numPr>
        <w:shd w:val="clear" w:color="auto" w:fill="FFFFFF" w:themeFill="background1"/>
        <w:spacing w:after="0"/>
        <w:rPr>
          <w:rFonts w:eastAsia="Calibri" w:cs="Calibri"/>
        </w:rPr>
      </w:pPr>
      <w:r w:rsidRPr="00741E03">
        <w:rPr>
          <w:rFonts w:eastAsia="Calibri" w:cs="Calibri"/>
        </w:rPr>
        <w:t xml:space="preserve">Maintain confidentiality and respect the individual needs of the client. </w:t>
      </w:r>
    </w:p>
    <w:p w14:paraId="1F7E821E" w14:textId="77777777" w:rsidR="007374C9" w:rsidRPr="00741E03" w:rsidRDefault="007374C9" w:rsidP="007374C9">
      <w:pPr>
        <w:pStyle w:val="ListParagraph"/>
        <w:numPr>
          <w:ilvl w:val="0"/>
          <w:numId w:val="4"/>
        </w:numPr>
        <w:shd w:val="clear" w:color="auto" w:fill="FFFFFF" w:themeFill="background1"/>
        <w:spacing w:after="0"/>
        <w:rPr>
          <w:rFonts w:eastAsia="Calibri" w:cs="Calibri"/>
        </w:rPr>
      </w:pPr>
      <w:r w:rsidRPr="00741E03">
        <w:rPr>
          <w:rFonts w:eastAsia="Calibri" w:cs="Calibri"/>
        </w:rPr>
        <w:t xml:space="preserve">Adhere to record keeping policy and information governance requirements. </w:t>
      </w:r>
    </w:p>
    <w:p w14:paraId="53526CE6" w14:textId="77777777" w:rsidR="007374C9" w:rsidRPr="00741E03" w:rsidRDefault="007374C9" w:rsidP="007374C9">
      <w:pPr>
        <w:pStyle w:val="ListParagraph"/>
        <w:numPr>
          <w:ilvl w:val="0"/>
          <w:numId w:val="4"/>
        </w:numPr>
        <w:spacing w:after="0"/>
      </w:pPr>
      <w:r w:rsidRPr="00741E03">
        <w:t xml:space="preserve">Create opportunities for client involvement in service development and quality improvement. </w:t>
      </w:r>
    </w:p>
    <w:p w14:paraId="1C288FA5" w14:textId="77777777" w:rsidR="007374C9" w:rsidRPr="00741E03" w:rsidRDefault="007374C9" w:rsidP="007374C9">
      <w:pPr>
        <w:pStyle w:val="ListParagraph"/>
        <w:numPr>
          <w:ilvl w:val="0"/>
          <w:numId w:val="4"/>
        </w:numPr>
        <w:spacing w:after="0"/>
      </w:pPr>
      <w:r w:rsidRPr="00741E03">
        <w:t>Maintain a flexible approach and responsive to the changing needs of the service and organisation.</w:t>
      </w:r>
    </w:p>
    <w:p w14:paraId="761B54D3" w14:textId="77777777" w:rsidR="00565620" w:rsidRPr="007374C9" w:rsidRDefault="00565620" w:rsidP="007374C9">
      <w:pPr>
        <w:rPr>
          <w:rFonts w:ascii="Brix Sans Light" w:hAnsi="Brix Sans Light" w:cstheme="majorHAnsi"/>
        </w:rPr>
      </w:pPr>
    </w:p>
    <w:p w14:paraId="75F8D30D" w14:textId="77777777" w:rsidR="008D1674" w:rsidRDefault="008D1674" w:rsidP="00612A23">
      <w:pPr>
        <w:rPr>
          <w:rFonts w:ascii="Brix Sans Light" w:hAnsi="Brix Sans Light" w:cstheme="majorHAnsi"/>
          <w:b/>
          <w:bCs/>
          <w:sz w:val="22"/>
          <w:szCs w:val="22"/>
        </w:rPr>
      </w:pPr>
    </w:p>
    <w:p w14:paraId="47E7E61C" w14:textId="487CB0D2" w:rsidR="008D5100" w:rsidRDefault="008D5100" w:rsidP="06B0D3C1">
      <w:pPr>
        <w:rPr>
          <w:rFonts w:ascii="Brix Sans Light" w:hAnsi="Brix Sans Light" w:cstheme="majorBidi"/>
          <w:b/>
          <w:bCs/>
          <w:sz w:val="22"/>
          <w:szCs w:val="22"/>
        </w:rPr>
      </w:pPr>
      <w:r w:rsidRPr="06B0D3C1">
        <w:rPr>
          <w:rFonts w:ascii="Brix Sans Light" w:hAnsi="Brix Sans Light" w:cstheme="majorBidi"/>
          <w:b/>
          <w:bCs/>
          <w:sz w:val="22"/>
          <w:szCs w:val="22"/>
        </w:rPr>
        <w:t>KE</w:t>
      </w:r>
      <w:r w:rsidR="3A4DF1F0" w:rsidRPr="06B0D3C1">
        <w:rPr>
          <w:rFonts w:ascii="Brix Sans Light" w:hAnsi="Brix Sans Light" w:cstheme="majorBidi"/>
          <w:b/>
          <w:bCs/>
          <w:sz w:val="22"/>
          <w:szCs w:val="22"/>
        </w:rPr>
        <w:t>Y</w:t>
      </w:r>
      <w:r w:rsidRPr="06B0D3C1">
        <w:rPr>
          <w:rFonts w:ascii="Brix Sans Light" w:hAnsi="Brix Sans Light" w:cstheme="majorBidi"/>
          <w:b/>
          <w:bCs/>
          <w:sz w:val="22"/>
          <w:szCs w:val="22"/>
        </w:rPr>
        <w:t xml:space="preserve"> ACCOUNTABILITIES</w:t>
      </w:r>
    </w:p>
    <w:p w14:paraId="572E4ADE" w14:textId="77777777" w:rsidR="00F264B1" w:rsidRDefault="00F264B1" w:rsidP="00F264B1">
      <w:pPr>
        <w:pStyle w:val="ListParagraph"/>
        <w:numPr>
          <w:ilvl w:val="0"/>
          <w:numId w:val="10"/>
        </w:numPr>
        <w:spacing w:after="0"/>
        <w:ind w:left="700"/>
      </w:pPr>
      <w:r>
        <w:t>Deliver CfD to clients aged 18 and above.</w:t>
      </w:r>
    </w:p>
    <w:p w14:paraId="25FB10C0" w14:textId="77777777" w:rsidR="00F264B1" w:rsidRDefault="00F264B1" w:rsidP="00F264B1">
      <w:pPr>
        <w:pStyle w:val="ListParagraph"/>
        <w:numPr>
          <w:ilvl w:val="0"/>
          <w:numId w:val="10"/>
        </w:numPr>
        <w:spacing w:after="0"/>
        <w:ind w:left="700"/>
      </w:pPr>
      <w:r>
        <w:t>Maintain high standards of clinical record keeping including electronic data entry and recording, report writing and exercise professional self- governance.</w:t>
      </w:r>
    </w:p>
    <w:p w14:paraId="2BBE5105" w14:textId="77777777" w:rsidR="00F264B1" w:rsidRDefault="00F264B1" w:rsidP="00F264B1">
      <w:pPr>
        <w:pStyle w:val="ListParagraph"/>
        <w:numPr>
          <w:ilvl w:val="0"/>
          <w:numId w:val="10"/>
        </w:numPr>
        <w:spacing w:after="0"/>
        <w:ind w:left="700"/>
      </w:pPr>
      <w:r>
        <w:t>Ensure electronic recording of clinical activity meets the required standards, recorded accurately and in a timely fashion to meet the reporting of KPIs.</w:t>
      </w:r>
    </w:p>
    <w:p w14:paraId="3F36FA4B" w14:textId="77777777" w:rsidR="00F264B1" w:rsidRDefault="00F264B1" w:rsidP="00F264B1">
      <w:pPr>
        <w:pStyle w:val="ListParagraph"/>
        <w:numPr>
          <w:ilvl w:val="0"/>
          <w:numId w:val="10"/>
        </w:numPr>
        <w:spacing w:after="0"/>
        <w:ind w:left="700"/>
      </w:pPr>
      <w:r>
        <w:t>Comply with Information Governance and Data Protection policies, ensuring that all sensitive information is dealt with in line with organisational standards.</w:t>
      </w:r>
    </w:p>
    <w:p w14:paraId="3B2CE20B" w14:textId="77777777" w:rsidR="00F264B1" w:rsidRPr="00741E03" w:rsidRDefault="00F264B1" w:rsidP="00F264B1">
      <w:pPr>
        <w:pStyle w:val="ListParagraph"/>
        <w:numPr>
          <w:ilvl w:val="0"/>
          <w:numId w:val="10"/>
        </w:numPr>
        <w:spacing w:after="0"/>
        <w:ind w:left="700"/>
      </w:pPr>
      <w:r w:rsidRPr="00741E03">
        <w:t>Adhere to an agreed activity contract relating to the number of client contacts offered, and clinical sessions carried out per week in order to minimise waiting times and ensure treatment delivery remains accessible and convenient.</w:t>
      </w:r>
    </w:p>
    <w:p w14:paraId="43E88ED2" w14:textId="77777777" w:rsidR="00F264B1" w:rsidRPr="00741E03" w:rsidRDefault="00F264B1" w:rsidP="00F264B1">
      <w:pPr>
        <w:pStyle w:val="ListParagraph"/>
        <w:numPr>
          <w:ilvl w:val="0"/>
          <w:numId w:val="10"/>
        </w:numPr>
        <w:spacing w:after="0"/>
        <w:ind w:left="700"/>
        <w:rPr>
          <w:b/>
          <w:bCs/>
        </w:rPr>
      </w:pPr>
      <w:r w:rsidRPr="00741E03">
        <w:t>Maintain the highest professional standards of practice by undertaking regular professional/clinical supervision and caseload management supervision.</w:t>
      </w:r>
    </w:p>
    <w:p w14:paraId="4BBBEB6D" w14:textId="77777777" w:rsidR="00F264B1" w:rsidRPr="00741E03" w:rsidRDefault="00F264B1" w:rsidP="00F264B1">
      <w:pPr>
        <w:pStyle w:val="ListParagraph"/>
        <w:numPr>
          <w:ilvl w:val="0"/>
          <w:numId w:val="10"/>
        </w:numPr>
        <w:spacing w:after="0"/>
        <w:ind w:left="700"/>
        <w:rPr>
          <w:b/>
          <w:bCs/>
          <w:color w:val="000000" w:themeColor="text1"/>
        </w:rPr>
      </w:pPr>
      <w:r w:rsidRPr="00741E03">
        <w:rPr>
          <w:color w:val="000000" w:themeColor="text1"/>
        </w:rPr>
        <w:t>Maintain coherent records of all clinical activity in line with service protocols.</w:t>
      </w:r>
    </w:p>
    <w:p w14:paraId="034385F9" w14:textId="77777777" w:rsidR="00F264B1" w:rsidRPr="00741E03" w:rsidRDefault="00F264B1" w:rsidP="00F264B1">
      <w:pPr>
        <w:pStyle w:val="ListParagraph"/>
        <w:numPr>
          <w:ilvl w:val="0"/>
          <w:numId w:val="12"/>
        </w:numPr>
        <w:spacing w:after="0"/>
        <w:ind w:left="700"/>
      </w:pPr>
      <w:r w:rsidRPr="00741E03">
        <w:t>Ensure timely and accurate data reporting to the local authority as per process and procedure.</w:t>
      </w:r>
    </w:p>
    <w:p w14:paraId="50775EF9" w14:textId="77777777" w:rsidR="00F264B1" w:rsidRPr="00741E03" w:rsidRDefault="00F264B1" w:rsidP="00F264B1">
      <w:pPr>
        <w:pStyle w:val="ListParagraph"/>
        <w:numPr>
          <w:ilvl w:val="0"/>
          <w:numId w:val="12"/>
        </w:numPr>
        <w:shd w:val="clear" w:color="auto" w:fill="FFFFFF" w:themeFill="background1"/>
        <w:spacing w:after="0"/>
        <w:ind w:left="700"/>
        <w:rPr>
          <w:rFonts w:eastAsia="Calibri" w:cs="Calibri"/>
        </w:rPr>
      </w:pPr>
      <w:r w:rsidRPr="00741E03">
        <w:rPr>
          <w:rFonts w:eastAsia="Calibri" w:cs="Calibri"/>
        </w:rPr>
        <w:t>Complete all necessary administration, including reviewing client referrals, completing outcome measures and monitoring/collecting client feedback.</w:t>
      </w:r>
    </w:p>
    <w:p w14:paraId="0E83552C" w14:textId="77777777" w:rsidR="00F264B1" w:rsidRPr="00741E03" w:rsidRDefault="00F264B1" w:rsidP="00F264B1">
      <w:pPr>
        <w:pStyle w:val="ListParagraph"/>
        <w:numPr>
          <w:ilvl w:val="0"/>
          <w:numId w:val="11"/>
        </w:numPr>
        <w:spacing w:after="0"/>
        <w:ind w:left="700"/>
      </w:pPr>
      <w:r w:rsidRPr="00741E03">
        <w:t xml:space="preserve">Adhere to service and local authority protocol and procedure for CfD session extension requests. </w:t>
      </w:r>
    </w:p>
    <w:p w14:paraId="5F6733E0" w14:textId="77777777" w:rsidR="00F264B1" w:rsidRPr="00741E03" w:rsidRDefault="00F264B1" w:rsidP="00F264B1">
      <w:pPr>
        <w:pStyle w:val="ListParagraph"/>
        <w:numPr>
          <w:ilvl w:val="0"/>
          <w:numId w:val="11"/>
        </w:numPr>
        <w:spacing w:after="0"/>
        <w:ind w:left="700"/>
      </w:pPr>
      <w:r>
        <w:t xml:space="preserve">Follow service and local authority policy and procedure for safeguarding concerns. </w:t>
      </w:r>
    </w:p>
    <w:p w14:paraId="153E0FBD" w14:textId="77777777" w:rsidR="00F264B1" w:rsidRPr="00741E03" w:rsidRDefault="00F264B1" w:rsidP="00F264B1">
      <w:pPr>
        <w:pStyle w:val="ListParagraph"/>
        <w:numPr>
          <w:ilvl w:val="0"/>
          <w:numId w:val="11"/>
        </w:numPr>
        <w:spacing w:after="0"/>
        <w:ind w:left="700"/>
      </w:pPr>
      <w:r w:rsidRPr="00741E03">
        <w:t xml:space="preserve">Ensure discharge planning is collaborative and includes signposting and onward referral if needed. </w:t>
      </w:r>
    </w:p>
    <w:p w14:paraId="08EE86B4" w14:textId="77777777" w:rsidR="00F264B1" w:rsidRPr="00741E03" w:rsidRDefault="00F264B1" w:rsidP="00F264B1">
      <w:pPr>
        <w:pStyle w:val="ListParagraph"/>
        <w:numPr>
          <w:ilvl w:val="0"/>
          <w:numId w:val="11"/>
        </w:numPr>
        <w:spacing w:after="0"/>
        <w:ind w:left="700"/>
      </w:pPr>
      <w:r w:rsidRPr="00741E03">
        <w:lastRenderedPageBreak/>
        <w:t xml:space="preserve">Complete comprehensive discharge summaries for GPs. </w:t>
      </w:r>
    </w:p>
    <w:p w14:paraId="41B24DFB" w14:textId="77777777" w:rsidR="00F264B1" w:rsidRPr="00741E03" w:rsidRDefault="00F264B1" w:rsidP="00F264B1">
      <w:pPr>
        <w:pStyle w:val="ListParagraph"/>
        <w:numPr>
          <w:ilvl w:val="0"/>
          <w:numId w:val="11"/>
        </w:numPr>
        <w:spacing w:after="0"/>
        <w:ind w:left="700"/>
      </w:pPr>
      <w:r w:rsidRPr="00741E03">
        <w:t xml:space="preserve">Attend clinical supervision in accordance with BACP requirements. </w:t>
      </w:r>
    </w:p>
    <w:p w14:paraId="70665E90" w14:textId="77777777" w:rsidR="00F264B1" w:rsidRPr="00741E03" w:rsidRDefault="00F264B1" w:rsidP="00F264B1">
      <w:pPr>
        <w:pStyle w:val="ListParagraph"/>
        <w:numPr>
          <w:ilvl w:val="0"/>
          <w:numId w:val="11"/>
        </w:numPr>
        <w:spacing w:after="0"/>
        <w:ind w:left="700"/>
      </w:pPr>
      <w:r w:rsidRPr="00741E03">
        <w:t>Ensure clear professional objectives are identified, discussed and on a regular basis as part of continuing professional development (CPD).</w:t>
      </w:r>
    </w:p>
    <w:p w14:paraId="2246A5FD" w14:textId="77777777" w:rsidR="00F264B1" w:rsidRPr="00741E03" w:rsidRDefault="00F264B1" w:rsidP="00F264B1">
      <w:pPr>
        <w:pStyle w:val="ListParagraph"/>
        <w:numPr>
          <w:ilvl w:val="0"/>
          <w:numId w:val="11"/>
        </w:numPr>
        <w:spacing w:after="0"/>
        <w:ind w:left="700"/>
      </w:pPr>
      <w:r w:rsidRPr="00741E03">
        <w:t xml:space="preserve">Maintain professional attitude and conduct towards fellow team members, clients and professionals. </w:t>
      </w:r>
    </w:p>
    <w:p w14:paraId="0B5A8F24" w14:textId="77777777" w:rsidR="00F264B1" w:rsidRPr="00741E03" w:rsidRDefault="00F264B1" w:rsidP="00F264B1">
      <w:pPr>
        <w:pStyle w:val="ListParagraph"/>
        <w:numPr>
          <w:ilvl w:val="0"/>
          <w:numId w:val="11"/>
        </w:numPr>
        <w:spacing w:after="0"/>
        <w:ind w:left="700"/>
      </w:pPr>
      <w:r w:rsidRPr="00741E03">
        <w:t>Contribute to improving the quality and effectiveness of evidence-based modalities within the service.</w:t>
      </w:r>
    </w:p>
    <w:p w14:paraId="0C2D25EC" w14:textId="77777777" w:rsidR="008D5100" w:rsidRPr="008D5100" w:rsidRDefault="008D5100" w:rsidP="008D5100">
      <w:pPr>
        <w:pStyle w:val="ListParagraph"/>
        <w:numPr>
          <w:ilvl w:val="0"/>
          <w:numId w:val="4"/>
        </w:numPr>
        <w:rPr>
          <w:rFonts w:ascii="Brix Sans Light" w:hAnsi="Brix Sans Light" w:cstheme="majorHAnsi"/>
        </w:rPr>
      </w:pPr>
    </w:p>
    <w:p w14:paraId="3E9457FC" w14:textId="77777777" w:rsidR="008D5100" w:rsidRDefault="008D5100" w:rsidP="00612A23">
      <w:pPr>
        <w:rPr>
          <w:rFonts w:ascii="Brix Sans Light" w:hAnsi="Brix Sans Light" w:cstheme="majorHAnsi"/>
          <w:b/>
          <w:bCs/>
          <w:sz w:val="22"/>
          <w:szCs w:val="22"/>
        </w:rPr>
      </w:pPr>
    </w:p>
    <w:p w14:paraId="6FE60753" w14:textId="2673ABD9" w:rsidR="00612A23" w:rsidRPr="00720936" w:rsidRDefault="005E0684" w:rsidP="00612A23">
      <w:pPr>
        <w:rPr>
          <w:rFonts w:ascii="Brix Sans Light" w:hAnsi="Brix Sans Light" w:cstheme="majorHAnsi"/>
          <w:b/>
          <w:bCs/>
          <w:sz w:val="22"/>
          <w:szCs w:val="22"/>
        </w:rPr>
      </w:pPr>
      <w:r w:rsidRPr="00720936">
        <w:rPr>
          <w:rFonts w:ascii="Brix Sans Light" w:hAnsi="Brix Sans Light" w:cstheme="majorHAnsi"/>
          <w:b/>
          <w:bCs/>
          <w:sz w:val="22"/>
          <w:szCs w:val="22"/>
        </w:rPr>
        <w:t>KEY COMPETE</w:t>
      </w:r>
      <w:r w:rsidR="00720936" w:rsidRPr="00720936">
        <w:rPr>
          <w:rFonts w:ascii="Brix Sans Light" w:hAnsi="Brix Sans Light" w:cstheme="majorHAnsi"/>
          <w:b/>
          <w:bCs/>
          <w:sz w:val="22"/>
          <w:szCs w:val="22"/>
        </w:rPr>
        <w:t>NCIES</w:t>
      </w:r>
    </w:p>
    <w:p w14:paraId="06C01353" w14:textId="77777777" w:rsidR="00FA5EEF" w:rsidRDefault="00FA5EEF" w:rsidP="00FA5EEF">
      <w:pPr>
        <w:pStyle w:val="ListParagraph"/>
        <w:numPr>
          <w:ilvl w:val="0"/>
          <w:numId w:val="4"/>
        </w:numPr>
        <w:shd w:val="clear" w:color="auto" w:fill="FFFFFF" w:themeFill="background1"/>
        <w:spacing w:after="0"/>
        <w:rPr>
          <w:rFonts w:ascii="Aptos" w:eastAsia="Aptos" w:hAnsi="Aptos" w:cs="Aptos"/>
        </w:rPr>
      </w:pPr>
      <w:r w:rsidRPr="21FDE55F">
        <w:rPr>
          <w:rFonts w:ascii="Aptos" w:eastAsia="Aptos" w:hAnsi="Aptos" w:cs="Aptos"/>
        </w:rPr>
        <w:t>Offer a therapeutic relationship that facilitates experiential exploration within a relational context</w:t>
      </w:r>
    </w:p>
    <w:p w14:paraId="11B20756"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Knowledge </w:t>
      </w:r>
    </w:p>
    <w:p w14:paraId="75D019D9"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Skills </w:t>
      </w:r>
    </w:p>
    <w:p w14:paraId="4B7C8F18"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Authenticity </w:t>
      </w:r>
    </w:p>
    <w:p w14:paraId="048A6FE7"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Flexibility </w:t>
      </w:r>
    </w:p>
    <w:p w14:paraId="4DF39EC6"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Communication </w:t>
      </w:r>
    </w:p>
    <w:p w14:paraId="161EF211"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 xml:space="preserve">Collaboration </w:t>
      </w:r>
    </w:p>
    <w:p w14:paraId="3C392B60" w14:textId="77777777" w:rsidR="00FA5EEF" w:rsidRPr="00610614" w:rsidRDefault="00FA5EEF" w:rsidP="00FA5EEF">
      <w:pPr>
        <w:pStyle w:val="ListParagraph"/>
        <w:numPr>
          <w:ilvl w:val="0"/>
          <w:numId w:val="4"/>
        </w:numPr>
        <w:shd w:val="clear" w:color="auto" w:fill="FFFFFF" w:themeFill="background1"/>
        <w:spacing w:after="0"/>
        <w:rPr>
          <w:color w:val="000000" w:themeColor="text1"/>
        </w:rPr>
      </w:pPr>
      <w:r w:rsidRPr="00610614">
        <w:rPr>
          <w:rFonts w:eastAsia="Calibri" w:cs="Calibri"/>
          <w:color w:val="000000" w:themeColor="text1"/>
        </w:rPr>
        <w:t>Notify the service manager of Leave/Sickness/Pay administration.</w:t>
      </w:r>
    </w:p>
    <w:p w14:paraId="4E89782C" w14:textId="77777777" w:rsidR="00720936" w:rsidRPr="00FA5EEF" w:rsidRDefault="00720936" w:rsidP="00FA5EEF">
      <w:pPr>
        <w:rPr>
          <w:rFonts w:ascii="Brix Sans Light" w:hAnsi="Brix Sans Light" w:cstheme="majorHAnsi"/>
          <w:b/>
          <w:bCs/>
        </w:rPr>
      </w:pPr>
    </w:p>
    <w:p w14:paraId="695DFB60" w14:textId="77777777" w:rsidR="00720936" w:rsidRPr="00720936" w:rsidRDefault="00720936" w:rsidP="00612A23">
      <w:pPr>
        <w:rPr>
          <w:rFonts w:ascii="Brix Sans Light" w:hAnsi="Brix Sans Light" w:cstheme="majorHAnsi"/>
          <w:b/>
          <w:bCs/>
          <w:sz w:val="22"/>
          <w:szCs w:val="22"/>
        </w:rPr>
      </w:pPr>
    </w:p>
    <w:p w14:paraId="66B3FBA7" w14:textId="34000C6A" w:rsidR="00612A23" w:rsidRPr="0028248E" w:rsidRDefault="0028248E" w:rsidP="00612A23">
      <w:pPr>
        <w:rPr>
          <w:rFonts w:ascii="Brix Sans Light" w:hAnsi="Brix Sans Light" w:cstheme="majorHAnsi"/>
          <w:b/>
          <w:bCs/>
          <w:sz w:val="22"/>
          <w:szCs w:val="22"/>
        </w:rPr>
      </w:pPr>
      <w:r w:rsidRPr="0028248E">
        <w:rPr>
          <w:rFonts w:ascii="Brix Sans Light" w:hAnsi="Brix Sans Light" w:cstheme="majorHAnsi"/>
          <w:b/>
          <w:bCs/>
          <w:sz w:val="22"/>
          <w:szCs w:val="22"/>
        </w:rPr>
        <w:t>PERSON SPECIFICATION</w:t>
      </w:r>
    </w:p>
    <w:p w14:paraId="07E8E272" w14:textId="77777777" w:rsidR="00565620" w:rsidRPr="00720936" w:rsidRDefault="00565620" w:rsidP="00612A23">
      <w:pPr>
        <w:rPr>
          <w:rFonts w:ascii="Brix Sans Light" w:hAnsi="Brix Sans Light" w:cstheme="majorHAnsi"/>
          <w:sz w:val="22"/>
          <w:szCs w:val="22"/>
        </w:rPr>
      </w:pPr>
    </w:p>
    <w:tbl>
      <w:tblPr>
        <w:tblStyle w:val="TableGrid"/>
        <w:tblW w:w="0" w:type="auto"/>
        <w:tblLook w:val="04A0" w:firstRow="1" w:lastRow="0" w:firstColumn="1" w:lastColumn="0" w:noHBand="0" w:noVBand="1"/>
      </w:tblPr>
      <w:tblGrid>
        <w:gridCol w:w="2405"/>
        <w:gridCol w:w="3969"/>
        <w:gridCol w:w="2330"/>
      </w:tblGrid>
      <w:tr w:rsidR="009D1E9C" w:rsidRPr="00720936" w14:paraId="185E2046" w14:textId="2B02D3DB" w:rsidTr="00C56028">
        <w:tc>
          <w:tcPr>
            <w:tcW w:w="2405" w:type="dxa"/>
          </w:tcPr>
          <w:p w14:paraId="1E8DEC21" w14:textId="05453722"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CRITERIA</w:t>
            </w:r>
          </w:p>
        </w:tc>
        <w:tc>
          <w:tcPr>
            <w:tcW w:w="3969" w:type="dxa"/>
          </w:tcPr>
          <w:p w14:paraId="45A8776B" w14:textId="782FC6CF"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ESSENTIAL</w:t>
            </w:r>
          </w:p>
        </w:tc>
        <w:tc>
          <w:tcPr>
            <w:tcW w:w="2330" w:type="dxa"/>
          </w:tcPr>
          <w:p w14:paraId="6AFA1E02" w14:textId="63825CCE"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DESIRABLE</w:t>
            </w:r>
          </w:p>
        </w:tc>
      </w:tr>
      <w:tr w:rsidR="00C56028" w:rsidRPr="00720936" w14:paraId="24A68A45" w14:textId="4199D870" w:rsidTr="00C56028">
        <w:tc>
          <w:tcPr>
            <w:tcW w:w="2405" w:type="dxa"/>
          </w:tcPr>
          <w:p w14:paraId="6E08E67B" w14:textId="22AD0592" w:rsidR="00C56028" w:rsidRPr="006E6916" w:rsidRDefault="00C56028" w:rsidP="00C56028">
            <w:pPr>
              <w:rPr>
                <w:rFonts w:ascii="Brix Sans Light" w:hAnsi="Brix Sans Light" w:cstheme="majorHAnsi"/>
                <w:b/>
                <w:bCs/>
                <w:sz w:val="22"/>
                <w:szCs w:val="22"/>
              </w:rPr>
            </w:pPr>
            <w:r w:rsidRPr="00DD4168">
              <w:rPr>
                <w:rFonts w:eastAsia="Trebuchet MS" w:cstheme="minorHAnsi"/>
                <w:b/>
                <w:bCs/>
              </w:rPr>
              <w:t>Qualifications/ Membership of Professional Body</w:t>
            </w:r>
          </w:p>
        </w:tc>
        <w:tc>
          <w:tcPr>
            <w:tcW w:w="3969" w:type="dxa"/>
          </w:tcPr>
          <w:p w14:paraId="62BB7F23" w14:textId="77777777" w:rsidR="00C56028" w:rsidRDefault="00C56028" w:rsidP="00C56028">
            <w:r>
              <w:t>Person Centred Experiential Counselling for Depression (PCE-CfD} or at least part 1 of the training completed</w:t>
            </w:r>
          </w:p>
          <w:p w14:paraId="667F00B5" w14:textId="77777777" w:rsidR="00C56028" w:rsidRPr="00720936" w:rsidRDefault="00C56028" w:rsidP="00C56028">
            <w:pPr>
              <w:rPr>
                <w:rFonts w:ascii="Brix Sans Light" w:hAnsi="Brix Sans Light" w:cstheme="majorHAnsi"/>
                <w:sz w:val="22"/>
                <w:szCs w:val="22"/>
              </w:rPr>
            </w:pPr>
          </w:p>
        </w:tc>
        <w:tc>
          <w:tcPr>
            <w:tcW w:w="2330" w:type="dxa"/>
          </w:tcPr>
          <w:p w14:paraId="314AFBB1" w14:textId="77777777" w:rsidR="00C56028" w:rsidRPr="00720936" w:rsidRDefault="00C56028" w:rsidP="00C56028">
            <w:pPr>
              <w:rPr>
                <w:rFonts w:ascii="Brix Sans Light" w:hAnsi="Brix Sans Light" w:cstheme="majorHAnsi"/>
                <w:sz w:val="22"/>
                <w:szCs w:val="22"/>
              </w:rPr>
            </w:pPr>
          </w:p>
        </w:tc>
      </w:tr>
      <w:tr w:rsidR="00C56028" w:rsidRPr="00720936" w14:paraId="378FF81B" w14:textId="2DAB7B98" w:rsidTr="00C56028">
        <w:tc>
          <w:tcPr>
            <w:tcW w:w="2405" w:type="dxa"/>
          </w:tcPr>
          <w:p w14:paraId="4E095E65" w14:textId="77777777" w:rsidR="00C56028" w:rsidRPr="00DD4168" w:rsidRDefault="00C56028" w:rsidP="00C56028">
            <w:pPr>
              <w:rPr>
                <w:b/>
                <w:bCs/>
              </w:rPr>
            </w:pPr>
            <w:r w:rsidRPr="00DD4168">
              <w:rPr>
                <w:b/>
                <w:bCs/>
              </w:rPr>
              <w:t>Experience</w:t>
            </w:r>
          </w:p>
          <w:p w14:paraId="24135228" w14:textId="77777777" w:rsidR="00C56028" w:rsidRPr="00720936" w:rsidRDefault="00C56028" w:rsidP="00C56028">
            <w:pPr>
              <w:rPr>
                <w:rFonts w:ascii="Brix Sans Light" w:hAnsi="Brix Sans Light" w:cstheme="majorHAnsi"/>
                <w:sz w:val="22"/>
                <w:szCs w:val="22"/>
              </w:rPr>
            </w:pPr>
          </w:p>
        </w:tc>
        <w:tc>
          <w:tcPr>
            <w:tcW w:w="3969" w:type="dxa"/>
          </w:tcPr>
          <w:p w14:paraId="58772C1F" w14:textId="77777777" w:rsidR="00C56028" w:rsidRDefault="00C56028" w:rsidP="00C56028">
            <w:pPr>
              <w:rPr>
                <w:rFonts w:eastAsia="Trebuchet MS" w:cstheme="minorHAnsi"/>
              </w:rPr>
            </w:pPr>
            <w:r>
              <w:rPr>
                <w:rFonts w:eastAsia="Trebuchet MS" w:cstheme="minorHAnsi"/>
              </w:rPr>
              <w:t>Experience of delivering Counselling for Depression within a Talking Therapies service.</w:t>
            </w:r>
          </w:p>
          <w:p w14:paraId="6EE47C86" w14:textId="77777777" w:rsidR="00C56028" w:rsidRDefault="00C56028" w:rsidP="00C56028">
            <w:pPr>
              <w:rPr>
                <w:rFonts w:eastAsia="Trebuchet MS" w:cstheme="minorHAnsi"/>
              </w:rPr>
            </w:pPr>
          </w:p>
          <w:p w14:paraId="4E8A03A9" w14:textId="77777777" w:rsidR="00C56028" w:rsidRDefault="00C56028" w:rsidP="00C56028">
            <w:pPr>
              <w:rPr>
                <w:rFonts w:eastAsia="Trebuchet MS" w:cstheme="minorHAnsi"/>
              </w:rPr>
            </w:pPr>
            <w:r>
              <w:rPr>
                <w:rFonts w:eastAsia="Trebuchet MS" w:cstheme="minorHAnsi"/>
              </w:rPr>
              <w:t>Experience in safeguarding issues and the assessment and management of clinical risk.</w:t>
            </w:r>
          </w:p>
          <w:p w14:paraId="1FBB424A" w14:textId="77777777" w:rsidR="00C56028" w:rsidRDefault="00C56028" w:rsidP="00C56028">
            <w:pPr>
              <w:rPr>
                <w:rFonts w:eastAsia="Trebuchet MS" w:cstheme="minorHAnsi"/>
              </w:rPr>
            </w:pPr>
          </w:p>
          <w:p w14:paraId="6DEAC6D4" w14:textId="77777777" w:rsidR="00C56028" w:rsidRDefault="00C56028" w:rsidP="00C56028">
            <w:pPr>
              <w:rPr>
                <w:rFonts w:eastAsia="Trebuchet MS" w:cstheme="minorHAnsi"/>
              </w:rPr>
            </w:pPr>
            <w:r>
              <w:rPr>
                <w:rFonts w:eastAsia="Trebuchet MS" w:cstheme="minorHAnsi"/>
              </w:rPr>
              <w:t>Experience in recording and handling clinical data in a sensitive manner and in line with data protection.</w:t>
            </w:r>
          </w:p>
          <w:p w14:paraId="62DAAAD3" w14:textId="77777777" w:rsidR="00C56028" w:rsidRDefault="00C56028" w:rsidP="00C56028">
            <w:pPr>
              <w:rPr>
                <w:rFonts w:eastAsia="Trebuchet MS" w:cstheme="minorHAnsi"/>
              </w:rPr>
            </w:pPr>
          </w:p>
          <w:p w14:paraId="79D84B92" w14:textId="77777777" w:rsidR="00C56028" w:rsidRPr="000446BC" w:rsidRDefault="00C56028" w:rsidP="00C56028">
            <w:pPr>
              <w:rPr>
                <w:rFonts w:eastAsia="Trebuchet MS" w:cstheme="minorHAnsi"/>
                <w:color w:val="1F3864" w:themeColor="accent1" w:themeShade="80"/>
              </w:rPr>
            </w:pPr>
            <w:r w:rsidRPr="000446BC">
              <w:rPr>
                <w:rFonts w:eastAsia="Trebuchet MS" w:cstheme="minorHAnsi"/>
              </w:rPr>
              <w:t>Experience of service evaluation and service improvement.</w:t>
            </w:r>
          </w:p>
          <w:p w14:paraId="79D827F5" w14:textId="77777777" w:rsidR="00C56028" w:rsidRPr="000446BC" w:rsidRDefault="00C56028" w:rsidP="00C56028">
            <w:pPr>
              <w:rPr>
                <w:rFonts w:eastAsia="Trebuchet MS" w:cstheme="minorHAnsi"/>
                <w:color w:val="1F3864" w:themeColor="accent1" w:themeShade="80"/>
              </w:rPr>
            </w:pPr>
          </w:p>
          <w:p w14:paraId="7481CF06" w14:textId="77777777" w:rsidR="00C56028" w:rsidRDefault="00C56028" w:rsidP="00C56028">
            <w:r>
              <w:lastRenderedPageBreak/>
              <w:t>Experience of working with diverse communities within a multicultural setting.</w:t>
            </w:r>
          </w:p>
          <w:p w14:paraId="1443A140" w14:textId="77777777" w:rsidR="00C56028" w:rsidRPr="00720936" w:rsidRDefault="00C56028" w:rsidP="00C56028">
            <w:pPr>
              <w:rPr>
                <w:rFonts w:ascii="Brix Sans Light" w:hAnsi="Brix Sans Light" w:cstheme="majorHAnsi"/>
                <w:sz w:val="22"/>
                <w:szCs w:val="22"/>
              </w:rPr>
            </w:pPr>
          </w:p>
        </w:tc>
        <w:tc>
          <w:tcPr>
            <w:tcW w:w="2330" w:type="dxa"/>
          </w:tcPr>
          <w:p w14:paraId="018DCA21" w14:textId="77777777" w:rsidR="00C56028" w:rsidRPr="00720936" w:rsidRDefault="00C56028" w:rsidP="00C56028">
            <w:pPr>
              <w:rPr>
                <w:rFonts w:ascii="Brix Sans Light" w:hAnsi="Brix Sans Light" w:cstheme="majorHAnsi"/>
                <w:sz w:val="22"/>
                <w:szCs w:val="22"/>
              </w:rPr>
            </w:pPr>
          </w:p>
        </w:tc>
      </w:tr>
      <w:tr w:rsidR="00C56028" w:rsidRPr="00720936" w14:paraId="5B941A7A" w14:textId="1027320D" w:rsidTr="00C56028">
        <w:tc>
          <w:tcPr>
            <w:tcW w:w="2405" w:type="dxa"/>
          </w:tcPr>
          <w:p w14:paraId="292DEC6B" w14:textId="32EFFE1C" w:rsidR="00C56028" w:rsidRPr="00720936" w:rsidRDefault="00C56028" w:rsidP="00C56028">
            <w:pPr>
              <w:rPr>
                <w:rFonts w:ascii="Brix Sans Light" w:hAnsi="Brix Sans Light" w:cstheme="majorHAnsi"/>
                <w:sz w:val="22"/>
                <w:szCs w:val="22"/>
              </w:rPr>
            </w:pPr>
            <w:r w:rsidRPr="00231A37">
              <w:rPr>
                <w:rFonts w:eastAsia="Trebuchet MS" w:cstheme="minorHAnsi"/>
                <w:b/>
                <w:bCs/>
              </w:rPr>
              <w:t>Knowledge and Skills</w:t>
            </w:r>
            <w:r>
              <w:t xml:space="preserve"> </w:t>
            </w:r>
          </w:p>
        </w:tc>
        <w:tc>
          <w:tcPr>
            <w:tcW w:w="3969" w:type="dxa"/>
          </w:tcPr>
          <w:p w14:paraId="3BF4456C" w14:textId="77777777" w:rsidR="00C56028" w:rsidRDefault="00C56028" w:rsidP="00C56028">
            <w:r w:rsidRPr="21FDE55F">
              <w:rPr>
                <w:rFonts w:ascii="Aptos" w:eastAsia="Aptos" w:hAnsi="Aptos" w:cs="Aptos"/>
              </w:rPr>
              <w:t xml:space="preserve">Knowledge of depression. </w:t>
            </w:r>
          </w:p>
          <w:p w14:paraId="2518247E" w14:textId="77777777" w:rsidR="00C56028" w:rsidRDefault="00C56028" w:rsidP="00C56028">
            <w:pPr>
              <w:rPr>
                <w:rFonts w:ascii="Aptos" w:eastAsia="Aptos" w:hAnsi="Aptos" w:cs="Aptos"/>
              </w:rPr>
            </w:pPr>
          </w:p>
          <w:p w14:paraId="2A3CAA99" w14:textId="77777777" w:rsidR="00C56028" w:rsidRDefault="00C56028" w:rsidP="00C56028">
            <w:r w:rsidRPr="21FDE55F">
              <w:rPr>
                <w:rFonts w:ascii="Aptos" w:eastAsia="Aptos" w:hAnsi="Aptos" w:cs="Aptos"/>
              </w:rPr>
              <w:t>Knowledge of the basic assumptions and principles of counselling for depression.</w:t>
            </w:r>
          </w:p>
          <w:p w14:paraId="74698B97" w14:textId="77777777" w:rsidR="00C56028" w:rsidRDefault="00C56028" w:rsidP="00C56028">
            <w:pPr>
              <w:rPr>
                <w:rFonts w:ascii="Aptos" w:eastAsia="Aptos" w:hAnsi="Aptos" w:cs="Aptos"/>
              </w:rPr>
            </w:pPr>
          </w:p>
          <w:p w14:paraId="101D2229" w14:textId="77777777" w:rsidR="00C56028" w:rsidRDefault="00C56028" w:rsidP="00C56028">
            <w:r w:rsidRPr="21FDE55F">
              <w:rPr>
                <w:rFonts w:ascii="Aptos" w:eastAsia="Aptos" w:hAnsi="Aptos" w:cs="Aptos"/>
              </w:rPr>
              <w:t>Capacity to use clinical judgment when implementing treatment models.</w:t>
            </w:r>
          </w:p>
          <w:p w14:paraId="48B42D93" w14:textId="77777777" w:rsidR="00C56028" w:rsidRDefault="00C56028" w:rsidP="00C56028">
            <w:pPr>
              <w:rPr>
                <w:rFonts w:ascii="Aptos" w:eastAsia="Aptos" w:hAnsi="Aptos" w:cs="Aptos"/>
              </w:rPr>
            </w:pPr>
          </w:p>
          <w:p w14:paraId="43454076" w14:textId="77777777" w:rsidR="00C56028" w:rsidRDefault="00C56028" w:rsidP="00C56028">
            <w:r w:rsidRPr="21FDE55F">
              <w:rPr>
                <w:rFonts w:ascii="Aptos" w:eastAsia="Aptos" w:hAnsi="Aptos" w:cs="Aptos"/>
              </w:rPr>
              <w:t>Knowledge of, and ability to operate within, professional and ethical guidelines.</w:t>
            </w:r>
          </w:p>
          <w:p w14:paraId="52C6C376" w14:textId="77777777" w:rsidR="00C56028" w:rsidRDefault="00C56028" w:rsidP="00C56028">
            <w:pPr>
              <w:rPr>
                <w:rFonts w:ascii="Aptos" w:eastAsia="Aptos" w:hAnsi="Aptos" w:cs="Aptos"/>
              </w:rPr>
            </w:pPr>
          </w:p>
          <w:p w14:paraId="2E45627B" w14:textId="77777777" w:rsidR="00C56028" w:rsidRDefault="00C56028" w:rsidP="00C56028">
            <w:r w:rsidRPr="21FDE55F">
              <w:rPr>
                <w:rFonts w:ascii="Aptos" w:eastAsia="Aptos" w:hAnsi="Aptos" w:cs="Aptos"/>
              </w:rPr>
              <w:t>Ability to work with difference (cultural competence)</w:t>
            </w:r>
          </w:p>
          <w:p w14:paraId="36DFCFA4" w14:textId="77777777" w:rsidR="00C56028" w:rsidRDefault="00C56028" w:rsidP="00C56028">
            <w:pPr>
              <w:rPr>
                <w:rFonts w:ascii="Aptos" w:eastAsia="Aptos" w:hAnsi="Aptos" w:cs="Aptos"/>
              </w:rPr>
            </w:pPr>
          </w:p>
          <w:p w14:paraId="432DA0F1" w14:textId="77777777" w:rsidR="00C56028" w:rsidRDefault="00C56028" w:rsidP="00C56028">
            <w:pPr>
              <w:rPr>
                <w:rFonts w:ascii="Aptos" w:eastAsia="Aptos" w:hAnsi="Aptos" w:cs="Aptos"/>
              </w:rPr>
            </w:pPr>
            <w:r w:rsidRPr="21FDE55F">
              <w:rPr>
                <w:rFonts w:ascii="Aptos" w:eastAsia="Aptos" w:hAnsi="Aptos" w:cs="Aptos"/>
              </w:rPr>
              <w:t>Ability to explain and demonstrate the rationale for counselling.</w:t>
            </w:r>
          </w:p>
          <w:p w14:paraId="488419A3" w14:textId="77777777" w:rsidR="00C56028" w:rsidRDefault="00C56028" w:rsidP="00C56028">
            <w:pPr>
              <w:rPr>
                <w:rFonts w:ascii="Aptos" w:eastAsia="Aptos" w:hAnsi="Aptos" w:cs="Aptos"/>
              </w:rPr>
            </w:pPr>
          </w:p>
          <w:p w14:paraId="0ED86520" w14:textId="77777777" w:rsidR="00C56028" w:rsidRDefault="00C56028" w:rsidP="00C56028">
            <w:r w:rsidRPr="21FDE55F">
              <w:rPr>
                <w:rFonts w:ascii="Aptos" w:eastAsia="Aptos" w:hAnsi="Aptos" w:cs="Aptos"/>
              </w:rPr>
              <w:t>Ability to foster and maintain a good therapeutic alliance, and to grasp the client’s perspective and ‘world view’.</w:t>
            </w:r>
          </w:p>
          <w:p w14:paraId="1EAC271D" w14:textId="77777777" w:rsidR="00C56028" w:rsidRDefault="00C56028" w:rsidP="00C56028">
            <w:pPr>
              <w:rPr>
                <w:rFonts w:ascii="Aptos" w:eastAsia="Aptos" w:hAnsi="Aptos" w:cs="Aptos"/>
              </w:rPr>
            </w:pPr>
          </w:p>
          <w:p w14:paraId="4D6536A3" w14:textId="77777777" w:rsidR="00C56028" w:rsidRDefault="00C56028" w:rsidP="00C56028">
            <w:pPr>
              <w:rPr>
                <w:rFonts w:ascii="Aptos" w:eastAsia="Aptos" w:hAnsi="Aptos" w:cs="Aptos"/>
              </w:rPr>
            </w:pPr>
            <w:r w:rsidRPr="21FDE55F">
              <w:rPr>
                <w:rFonts w:ascii="Aptos" w:eastAsia="Aptos" w:hAnsi="Aptos" w:cs="Aptos"/>
              </w:rPr>
              <w:t>Ability to help clients make sense of experiences that are confusing and distressing.</w:t>
            </w:r>
          </w:p>
          <w:p w14:paraId="3EEDE069" w14:textId="77777777" w:rsidR="00C56028" w:rsidRDefault="00C56028" w:rsidP="00C56028">
            <w:pPr>
              <w:rPr>
                <w:rFonts w:ascii="Aptos" w:eastAsia="Aptos" w:hAnsi="Aptos" w:cs="Aptos"/>
              </w:rPr>
            </w:pPr>
          </w:p>
          <w:p w14:paraId="46C6E3C7" w14:textId="77777777" w:rsidR="00C56028" w:rsidRDefault="00C56028" w:rsidP="00C56028">
            <w:pPr>
              <w:rPr>
                <w:rFonts w:ascii="Aptos" w:eastAsia="Aptos" w:hAnsi="Aptos" w:cs="Aptos"/>
              </w:rPr>
            </w:pPr>
            <w:r w:rsidRPr="21FDE55F">
              <w:rPr>
                <w:rFonts w:ascii="Aptos" w:eastAsia="Aptos" w:hAnsi="Aptos" w:cs="Aptos"/>
              </w:rPr>
              <w:t xml:space="preserve">Ability to help clients reflect on and develop emotional meanings.   </w:t>
            </w:r>
          </w:p>
          <w:p w14:paraId="571D15A5" w14:textId="77777777" w:rsidR="00C56028" w:rsidRDefault="00C56028" w:rsidP="00C56028">
            <w:pPr>
              <w:rPr>
                <w:rFonts w:ascii="Aptos" w:eastAsia="Aptos" w:hAnsi="Aptos" w:cs="Aptos"/>
              </w:rPr>
            </w:pPr>
            <w:r w:rsidRPr="21FDE55F">
              <w:rPr>
                <w:rFonts w:ascii="Aptos" w:eastAsia="Aptos" w:hAnsi="Aptos" w:cs="Aptos"/>
              </w:rPr>
              <w:t xml:space="preserve">Ability to use measures to guide therapy and to monitor outcomes. </w:t>
            </w:r>
          </w:p>
          <w:p w14:paraId="11D4384E" w14:textId="77777777" w:rsidR="00C56028" w:rsidRDefault="00C56028" w:rsidP="00C56028">
            <w:pPr>
              <w:rPr>
                <w:rFonts w:ascii="Aptos" w:eastAsia="Aptos" w:hAnsi="Aptos" w:cs="Aptos"/>
              </w:rPr>
            </w:pPr>
          </w:p>
          <w:p w14:paraId="1580C841" w14:textId="77777777" w:rsidR="00C56028" w:rsidRDefault="00C56028" w:rsidP="00C56028">
            <w:r w:rsidRPr="21FDE55F">
              <w:rPr>
                <w:rFonts w:ascii="Aptos" w:eastAsia="Aptos" w:hAnsi="Aptos" w:cs="Aptos"/>
              </w:rPr>
              <w:t>Ability to conclude the therapeutic relationship</w:t>
            </w:r>
          </w:p>
          <w:p w14:paraId="088F16C5" w14:textId="77777777" w:rsidR="00C56028" w:rsidRDefault="00C56028" w:rsidP="00C56028"/>
          <w:p w14:paraId="74693D09" w14:textId="77777777" w:rsidR="00C56028" w:rsidRDefault="00C56028" w:rsidP="00C56028">
            <w:r>
              <w:t>Able to communicate effectively and confidently across various platforms such as email, telephone, online video, and face to face.</w:t>
            </w:r>
          </w:p>
          <w:p w14:paraId="04576853" w14:textId="77777777" w:rsidR="00C56028" w:rsidRDefault="00C56028" w:rsidP="00C56028"/>
          <w:p w14:paraId="2849FAEA" w14:textId="77777777" w:rsidR="00C56028" w:rsidRDefault="00C56028" w:rsidP="00C56028">
            <w:r>
              <w:lastRenderedPageBreak/>
              <w:t>Able to develop collaborative working relationships with colleagues and contribute to a positive team culture.</w:t>
            </w:r>
          </w:p>
          <w:p w14:paraId="392BB6C7" w14:textId="77777777" w:rsidR="00C56028" w:rsidRDefault="00C56028" w:rsidP="00C56028">
            <w:pPr>
              <w:rPr>
                <w:rFonts w:ascii="Aptos" w:eastAsia="Aptos" w:hAnsi="Aptos" w:cs="Aptos"/>
              </w:rPr>
            </w:pPr>
          </w:p>
          <w:p w14:paraId="5D0FCCFA" w14:textId="77777777" w:rsidR="00C56028" w:rsidRDefault="00C56028" w:rsidP="00C56028">
            <w:pPr>
              <w:rPr>
                <w:rFonts w:ascii="Aptos" w:eastAsia="Aptos" w:hAnsi="Aptos" w:cs="Aptos"/>
              </w:rPr>
            </w:pPr>
            <w:r w:rsidRPr="21FDE55F">
              <w:rPr>
                <w:rFonts w:ascii="Aptos" w:eastAsia="Aptos" w:hAnsi="Aptos" w:cs="Aptos"/>
              </w:rPr>
              <w:t>Capacity to adapt interventions in response to client feedback.</w:t>
            </w:r>
          </w:p>
          <w:p w14:paraId="4237871C" w14:textId="77777777" w:rsidR="00C56028" w:rsidRDefault="00C56028" w:rsidP="00C56028">
            <w:pPr>
              <w:rPr>
                <w:rFonts w:ascii="Aptos" w:eastAsia="Aptos" w:hAnsi="Aptos" w:cs="Aptos"/>
              </w:rPr>
            </w:pPr>
          </w:p>
          <w:p w14:paraId="6747136A" w14:textId="77777777" w:rsidR="00C56028" w:rsidRDefault="00C56028" w:rsidP="00C56028">
            <w:r>
              <w:t>Proficient in IT Systems and Microsoft Office, including Teams, Word, Excel, Outlook and accurate and efficient data entry.</w:t>
            </w:r>
          </w:p>
          <w:p w14:paraId="2CC0A5F9" w14:textId="77777777" w:rsidR="00C56028" w:rsidRDefault="00C56028" w:rsidP="00C56028"/>
          <w:p w14:paraId="75ABFA79" w14:textId="77777777" w:rsidR="00C56028" w:rsidRDefault="00C56028" w:rsidP="00C56028">
            <w:r>
              <w:t>Ability to organise, manage and prioritise own workload with initiative and good time management.</w:t>
            </w:r>
          </w:p>
          <w:p w14:paraId="61B4FCED" w14:textId="77777777" w:rsidR="00C56028" w:rsidRDefault="00C56028" w:rsidP="00C56028"/>
          <w:p w14:paraId="7757EB6F" w14:textId="77777777" w:rsidR="00C56028" w:rsidRDefault="00C56028" w:rsidP="00C56028">
            <w:r>
              <w:t>Knowledge and understanding of the BACP ethical framework.</w:t>
            </w:r>
          </w:p>
          <w:p w14:paraId="02EFEB47" w14:textId="77777777" w:rsidR="00C56028" w:rsidRDefault="00C56028" w:rsidP="00C56028"/>
          <w:p w14:paraId="4921B046" w14:textId="77777777" w:rsidR="00C56028" w:rsidRDefault="00C56028" w:rsidP="00C56028">
            <w:r w:rsidRPr="00FB325A">
              <w:t>Ability to use session by session outcome measures to monitor practice</w:t>
            </w:r>
            <w:r>
              <w:t>.</w:t>
            </w:r>
          </w:p>
          <w:p w14:paraId="2C745117" w14:textId="77777777" w:rsidR="00C56028" w:rsidRDefault="00C56028" w:rsidP="00C56028"/>
          <w:p w14:paraId="055799CE" w14:textId="77777777" w:rsidR="00C56028" w:rsidRDefault="00C56028" w:rsidP="00C56028">
            <w:r>
              <w:t xml:space="preserve">Able to communicate </w:t>
            </w:r>
            <w:r w:rsidRPr="00FB325A">
              <w:t xml:space="preserve">complex technical or clinically sensitive information to clients, organisations and professional colleagues both within and outside the </w:t>
            </w:r>
            <w:r>
              <w:t>organisation.</w:t>
            </w:r>
          </w:p>
          <w:p w14:paraId="0CB41B07" w14:textId="77777777" w:rsidR="00C56028" w:rsidRDefault="00C56028" w:rsidP="00C56028"/>
          <w:p w14:paraId="747D8EF1" w14:textId="77777777" w:rsidR="00C56028" w:rsidRDefault="00C56028" w:rsidP="00C56028">
            <w:r w:rsidRPr="00FB325A">
              <w:t>Able to contribute effectively to service development and service improvement</w:t>
            </w:r>
            <w:r>
              <w:t xml:space="preserve">. </w:t>
            </w:r>
          </w:p>
          <w:p w14:paraId="61D3842F" w14:textId="77777777" w:rsidR="00C56028" w:rsidRPr="00720936" w:rsidRDefault="00C56028" w:rsidP="00C56028">
            <w:pPr>
              <w:rPr>
                <w:rFonts w:ascii="Brix Sans Light" w:hAnsi="Brix Sans Light" w:cstheme="majorHAnsi"/>
                <w:sz w:val="22"/>
                <w:szCs w:val="22"/>
              </w:rPr>
            </w:pPr>
          </w:p>
        </w:tc>
        <w:tc>
          <w:tcPr>
            <w:tcW w:w="2330" w:type="dxa"/>
          </w:tcPr>
          <w:p w14:paraId="0A82EB93" w14:textId="77777777" w:rsidR="00C56028" w:rsidRPr="00720936" w:rsidRDefault="00C56028" w:rsidP="00C56028">
            <w:pPr>
              <w:rPr>
                <w:rFonts w:ascii="Brix Sans Light" w:hAnsi="Brix Sans Light" w:cstheme="majorHAnsi"/>
                <w:sz w:val="22"/>
                <w:szCs w:val="22"/>
              </w:rPr>
            </w:pPr>
          </w:p>
        </w:tc>
      </w:tr>
      <w:tr w:rsidR="00C56028" w:rsidRPr="00720936" w14:paraId="744DB157" w14:textId="476DE416" w:rsidTr="00C56028">
        <w:tc>
          <w:tcPr>
            <w:tcW w:w="2405" w:type="dxa"/>
          </w:tcPr>
          <w:p w14:paraId="5BC89D60" w14:textId="5E751EFB" w:rsidR="00C56028" w:rsidRPr="006E6916" w:rsidRDefault="00C56028" w:rsidP="00C56028">
            <w:pPr>
              <w:rPr>
                <w:rFonts w:ascii="Brix Sans Light" w:hAnsi="Brix Sans Light" w:cstheme="majorHAnsi"/>
                <w:b/>
                <w:bCs/>
                <w:sz w:val="22"/>
                <w:szCs w:val="22"/>
              </w:rPr>
            </w:pPr>
            <w:r w:rsidRPr="002F1D0E">
              <w:rPr>
                <w:rFonts w:eastAsia="Trebuchet MS" w:cstheme="minorHAnsi"/>
                <w:b/>
                <w:bCs/>
              </w:rPr>
              <w:t>Supervision, teaching, training</w:t>
            </w:r>
          </w:p>
        </w:tc>
        <w:tc>
          <w:tcPr>
            <w:tcW w:w="3969" w:type="dxa"/>
          </w:tcPr>
          <w:p w14:paraId="4E327E5D" w14:textId="77777777" w:rsidR="00C56028" w:rsidRPr="002F1D0E" w:rsidRDefault="00C56028" w:rsidP="00C56028">
            <w:pPr>
              <w:rPr>
                <w:rFonts w:eastAsia="Trebuchet MS" w:cstheme="minorHAnsi"/>
                <w:color w:val="1F3864" w:themeColor="accent1" w:themeShade="80"/>
              </w:rPr>
            </w:pPr>
            <w:r>
              <w:rPr>
                <w:rFonts w:eastAsia="Trebuchet MS" w:cstheme="minorHAnsi"/>
              </w:rPr>
              <w:t>Knowledge and experience of and c</w:t>
            </w:r>
            <w:r w:rsidRPr="002F1D0E">
              <w:rPr>
                <w:rFonts w:eastAsia="Trebuchet MS" w:cstheme="minorHAnsi"/>
              </w:rPr>
              <w:t>ommitment to the supervision process</w:t>
            </w:r>
            <w:r>
              <w:rPr>
                <w:rFonts w:eastAsia="Trebuchet MS" w:cstheme="minorHAnsi"/>
              </w:rPr>
              <w:t>, including:</w:t>
            </w:r>
          </w:p>
          <w:p w14:paraId="0226A74E" w14:textId="77777777" w:rsidR="00C56028" w:rsidRDefault="00C56028" w:rsidP="00C56028">
            <w:pPr>
              <w:rPr>
                <w:rFonts w:eastAsia="Trebuchet MS" w:cstheme="minorHAnsi"/>
                <w:color w:val="1F3864" w:themeColor="accent1" w:themeShade="80"/>
              </w:rPr>
            </w:pPr>
          </w:p>
          <w:p w14:paraId="1FED15EF" w14:textId="77777777" w:rsidR="00C56028" w:rsidRPr="008E2907" w:rsidRDefault="00C56028" w:rsidP="00C56028">
            <w:pPr>
              <w:pStyle w:val="ListParagraph"/>
              <w:numPr>
                <w:ilvl w:val="0"/>
                <w:numId w:val="15"/>
              </w:numPr>
              <w:spacing w:after="0" w:line="240" w:lineRule="auto"/>
              <w:ind w:left="448"/>
            </w:pPr>
            <w:r w:rsidRPr="008E2907">
              <w:t xml:space="preserve">Clinical case management supervision </w:t>
            </w:r>
          </w:p>
          <w:p w14:paraId="656F26F3" w14:textId="77777777" w:rsidR="00C56028" w:rsidRPr="008E2907" w:rsidRDefault="00C56028" w:rsidP="00C56028">
            <w:pPr>
              <w:pStyle w:val="ListParagraph"/>
              <w:numPr>
                <w:ilvl w:val="0"/>
                <w:numId w:val="15"/>
              </w:numPr>
              <w:spacing w:after="0" w:line="240" w:lineRule="auto"/>
              <w:ind w:left="448"/>
            </w:pPr>
            <w:r w:rsidRPr="008E2907">
              <w:t>Clinical skills supervision</w:t>
            </w:r>
          </w:p>
          <w:p w14:paraId="743620CD" w14:textId="77777777" w:rsidR="00C56028" w:rsidRPr="008E2907" w:rsidRDefault="00C56028" w:rsidP="00C56028">
            <w:pPr>
              <w:pStyle w:val="ListParagraph"/>
              <w:numPr>
                <w:ilvl w:val="0"/>
                <w:numId w:val="15"/>
              </w:numPr>
              <w:spacing w:after="0" w:line="240" w:lineRule="auto"/>
              <w:ind w:left="448"/>
            </w:pPr>
            <w:r w:rsidRPr="008E2907">
              <w:t xml:space="preserve">Peer supervision </w:t>
            </w:r>
          </w:p>
          <w:p w14:paraId="5B954139" w14:textId="77777777" w:rsidR="00C56028" w:rsidRPr="008E2907" w:rsidRDefault="00C56028" w:rsidP="00C56028">
            <w:pPr>
              <w:pStyle w:val="ListParagraph"/>
              <w:numPr>
                <w:ilvl w:val="0"/>
                <w:numId w:val="15"/>
              </w:numPr>
              <w:spacing w:after="0" w:line="240" w:lineRule="auto"/>
              <w:ind w:left="448"/>
            </w:pPr>
            <w:r w:rsidRPr="008E2907">
              <w:t xml:space="preserve">Reflective practice/ supervision </w:t>
            </w:r>
          </w:p>
          <w:p w14:paraId="07F3FF27" w14:textId="77777777" w:rsidR="00C56028" w:rsidRPr="008E2907" w:rsidRDefault="00C56028" w:rsidP="00C56028">
            <w:pPr>
              <w:pStyle w:val="ListParagraph"/>
              <w:numPr>
                <w:ilvl w:val="0"/>
                <w:numId w:val="15"/>
              </w:numPr>
              <w:spacing w:after="0" w:line="240" w:lineRule="auto"/>
              <w:ind w:left="448"/>
            </w:pPr>
            <w:r w:rsidRPr="008E2907">
              <w:t>Line management supervision</w:t>
            </w:r>
          </w:p>
          <w:p w14:paraId="36902DAC" w14:textId="77777777" w:rsidR="00C56028" w:rsidRDefault="00C56028" w:rsidP="00C56028"/>
          <w:p w14:paraId="5434E34B" w14:textId="77777777" w:rsidR="00C56028" w:rsidRPr="0033573A" w:rsidRDefault="00C56028" w:rsidP="00C56028">
            <w:r>
              <w:t>Ability to support others to improve their practice.</w:t>
            </w:r>
          </w:p>
          <w:p w14:paraId="3A4A4AA9" w14:textId="77777777" w:rsidR="00C56028" w:rsidRPr="00720936" w:rsidRDefault="00C56028" w:rsidP="00C56028">
            <w:pPr>
              <w:rPr>
                <w:rFonts w:ascii="Brix Sans Light" w:hAnsi="Brix Sans Light" w:cstheme="majorHAnsi"/>
                <w:sz w:val="22"/>
                <w:szCs w:val="22"/>
              </w:rPr>
            </w:pPr>
          </w:p>
        </w:tc>
        <w:tc>
          <w:tcPr>
            <w:tcW w:w="2330" w:type="dxa"/>
          </w:tcPr>
          <w:p w14:paraId="0C009CD9" w14:textId="77777777" w:rsidR="00C56028" w:rsidRPr="002F1D0E" w:rsidRDefault="00C56028" w:rsidP="00C56028">
            <w:pPr>
              <w:rPr>
                <w:rFonts w:eastAsia="Trebuchet MS" w:cstheme="minorHAnsi"/>
                <w:color w:val="1F3864" w:themeColor="accent1" w:themeShade="80"/>
              </w:rPr>
            </w:pPr>
            <w:r w:rsidRPr="002F1D0E">
              <w:rPr>
                <w:rFonts w:eastAsia="Trebuchet MS" w:cstheme="minorHAnsi"/>
              </w:rPr>
              <w:t xml:space="preserve">Experience of developing and delivering specialist training </w:t>
            </w:r>
            <w:r>
              <w:rPr>
                <w:rFonts w:eastAsia="Trebuchet MS" w:cstheme="minorHAnsi"/>
              </w:rPr>
              <w:t>sessions/</w:t>
            </w:r>
            <w:r w:rsidRPr="002F1D0E">
              <w:rPr>
                <w:rFonts w:eastAsia="Trebuchet MS" w:cstheme="minorHAnsi"/>
              </w:rPr>
              <w:t>programmes.</w:t>
            </w:r>
          </w:p>
          <w:p w14:paraId="4F1F069E" w14:textId="77777777" w:rsidR="00C56028" w:rsidRPr="00720936" w:rsidRDefault="00C56028" w:rsidP="00C56028">
            <w:pPr>
              <w:rPr>
                <w:rFonts w:ascii="Brix Sans Light" w:hAnsi="Brix Sans Light" w:cstheme="majorHAnsi"/>
                <w:sz w:val="22"/>
                <w:szCs w:val="22"/>
              </w:rPr>
            </w:pPr>
          </w:p>
        </w:tc>
      </w:tr>
      <w:tr w:rsidR="00C56028" w:rsidRPr="00720936" w14:paraId="59B1E517" w14:textId="329CA288" w:rsidTr="00C56028">
        <w:tc>
          <w:tcPr>
            <w:tcW w:w="2405" w:type="dxa"/>
          </w:tcPr>
          <w:p w14:paraId="63993D8E" w14:textId="0E8DFA31" w:rsidR="00C56028" w:rsidRPr="00720936" w:rsidRDefault="00C56028" w:rsidP="00C56028">
            <w:pPr>
              <w:rPr>
                <w:rFonts w:ascii="Brix Sans Light" w:hAnsi="Brix Sans Light" w:cstheme="majorHAnsi"/>
                <w:sz w:val="22"/>
                <w:szCs w:val="22"/>
              </w:rPr>
            </w:pPr>
            <w:r>
              <w:t>Values</w:t>
            </w:r>
          </w:p>
        </w:tc>
        <w:tc>
          <w:tcPr>
            <w:tcW w:w="3969" w:type="dxa"/>
          </w:tcPr>
          <w:p w14:paraId="77C3D69B" w14:textId="77777777" w:rsidR="00C56028" w:rsidRDefault="00C56028" w:rsidP="00C56028">
            <w:pPr>
              <w:rPr>
                <w:rFonts w:eastAsia="Trebuchet MS" w:cstheme="minorHAnsi"/>
              </w:rPr>
            </w:pPr>
            <w:r w:rsidRPr="00DA77AD">
              <w:rPr>
                <w:rFonts w:eastAsia="Trebuchet MS" w:cstheme="minorHAnsi"/>
              </w:rPr>
              <w:t>Commit</w:t>
            </w:r>
            <w:r>
              <w:rPr>
                <w:rFonts w:eastAsia="Trebuchet MS" w:cstheme="minorHAnsi"/>
              </w:rPr>
              <w:t xml:space="preserve">ted </w:t>
            </w:r>
            <w:r w:rsidRPr="00DA77AD">
              <w:rPr>
                <w:rFonts w:eastAsia="Trebuchet MS" w:cstheme="minorHAnsi"/>
              </w:rPr>
              <w:t>to continuous professional development</w:t>
            </w:r>
            <w:r>
              <w:rPr>
                <w:rFonts w:eastAsia="Trebuchet MS" w:cstheme="minorHAnsi"/>
              </w:rPr>
              <w:t xml:space="preserve">. </w:t>
            </w:r>
          </w:p>
          <w:p w14:paraId="2F0CE9FA" w14:textId="77777777" w:rsidR="00C56028" w:rsidRDefault="00C56028" w:rsidP="00C56028">
            <w:pPr>
              <w:rPr>
                <w:rFonts w:eastAsia="Trebuchet MS" w:cstheme="minorHAnsi"/>
              </w:rPr>
            </w:pPr>
          </w:p>
          <w:p w14:paraId="1D78E46E" w14:textId="77777777" w:rsidR="00C56028" w:rsidRDefault="00C56028" w:rsidP="00C56028">
            <w:pPr>
              <w:rPr>
                <w:rFonts w:eastAsia="Trebuchet MS" w:cstheme="minorHAnsi"/>
              </w:rPr>
            </w:pPr>
            <w:r>
              <w:rPr>
                <w:rFonts w:eastAsia="Trebuchet MS" w:cstheme="minorHAnsi"/>
              </w:rPr>
              <w:t xml:space="preserve">Demonstrates </w:t>
            </w:r>
            <w:r w:rsidRPr="00EE049D">
              <w:rPr>
                <w:rFonts w:eastAsia="Trebuchet MS" w:cstheme="minorHAnsi"/>
              </w:rPr>
              <w:t xml:space="preserve">empathy and compassion towards others </w:t>
            </w:r>
          </w:p>
          <w:p w14:paraId="41E003D0" w14:textId="77777777" w:rsidR="00C56028" w:rsidRDefault="00C56028" w:rsidP="00C56028">
            <w:pPr>
              <w:rPr>
                <w:rFonts w:eastAsia="Trebuchet MS" w:cstheme="minorHAnsi"/>
              </w:rPr>
            </w:pPr>
          </w:p>
          <w:p w14:paraId="49FF10B6" w14:textId="77777777" w:rsidR="00C56028" w:rsidRDefault="00C56028" w:rsidP="00C56028">
            <w:pPr>
              <w:rPr>
                <w:rFonts w:eastAsia="Trebuchet MS" w:cstheme="minorHAnsi"/>
              </w:rPr>
            </w:pPr>
            <w:r>
              <w:rPr>
                <w:rFonts w:eastAsia="Trebuchet MS" w:cstheme="minorHAnsi"/>
              </w:rPr>
              <w:t xml:space="preserve">Demonstrates </w:t>
            </w:r>
            <w:r w:rsidRPr="00EE049D">
              <w:rPr>
                <w:rFonts w:eastAsia="Trebuchet MS" w:cstheme="minorHAnsi"/>
              </w:rPr>
              <w:t xml:space="preserve">resilience, adaptability and </w:t>
            </w:r>
            <w:r>
              <w:rPr>
                <w:rFonts w:eastAsia="Trebuchet MS" w:cstheme="minorHAnsi"/>
              </w:rPr>
              <w:t xml:space="preserve">a </w:t>
            </w:r>
            <w:r w:rsidRPr="00EE049D">
              <w:rPr>
                <w:rFonts w:eastAsia="Trebuchet MS" w:cstheme="minorHAnsi"/>
              </w:rPr>
              <w:t xml:space="preserve">flexible approach </w:t>
            </w:r>
          </w:p>
          <w:p w14:paraId="59310143" w14:textId="77777777" w:rsidR="00C56028" w:rsidRPr="00EE049D" w:rsidRDefault="00C56028" w:rsidP="00C56028">
            <w:pPr>
              <w:rPr>
                <w:rFonts w:eastAsia="Trebuchet MS" w:cstheme="minorHAnsi"/>
              </w:rPr>
            </w:pPr>
          </w:p>
          <w:p w14:paraId="480A5DCD" w14:textId="77777777" w:rsidR="00C56028" w:rsidRDefault="00C56028" w:rsidP="00C56028">
            <w:r>
              <w:rPr>
                <w:rFonts w:eastAsia="Trebuchet MS" w:cstheme="minorHAnsi"/>
              </w:rPr>
              <w:t>Is motivated and committed to ongoing learning and self-development.</w:t>
            </w:r>
          </w:p>
          <w:p w14:paraId="08DB609C" w14:textId="77777777" w:rsidR="00C56028" w:rsidRPr="00720936" w:rsidRDefault="00C56028" w:rsidP="00C56028">
            <w:pPr>
              <w:rPr>
                <w:rFonts w:ascii="Brix Sans Light" w:hAnsi="Brix Sans Light" w:cstheme="majorHAnsi"/>
                <w:sz w:val="22"/>
                <w:szCs w:val="22"/>
              </w:rPr>
            </w:pPr>
          </w:p>
        </w:tc>
        <w:tc>
          <w:tcPr>
            <w:tcW w:w="2330" w:type="dxa"/>
          </w:tcPr>
          <w:p w14:paraId="6315E2FD" w14:textId="77777777" w:rsidR="00C56028" w:rsidRPr="00720936" w:rsidRDefault="00C56028" w:rsidP="00C56028">
            <w:pPr>
              <w:rPr>
                <w:rFonts w:ascii="Brix Sans Light" w:hAnsi="Brix Sans Light" w:cstheme="majorHAnsi"/>
                <w:sz w:val="22"/>
                <w:szCs w:val="22"/>
              </w:rPr>
            </w:pPr>
          </w:p>
        </w:tc>
      </w:tr>
      <w:tr w:rsidR="00C56028" w:rsidRPr="00720936" w14:paraId="0255C0B0" w14:textId="77777777" w:rsidTr="00C56028">
        <w:tc>
          <w:tcPr>
            <w:tcW w:w="2405" w:type="dxa"/>
          </w:tcPr>
          <w:p w14:paraId="50BD61FB" w14:textId="77777777" w:rsidR="00C56028" w:rsidRDefault="00C56028" w:rsidP="00C56028">
            <w:pPr>
              <w:jc w:val="center"/>
            </w:pPr>
            <w:r>
              <w:t>Personal</w:t>
            </w:r>
          </w:p>
          <w:p w14:paraId="68605994" w14:textId="77777777" w:rsidR="00C56028" w:rsidRPr="00720936" w:rsidRDefault="00C56028" w:rsidP="00C56028">
            <w:pPr>
              <w:rPr>
                <w:rFonts w:ascii="Brix Sans Light" w:hAnsi="Brix Sans Light" w:cstheme="majorHAnsi"/>
                <w:sz w:val="22"/>
                <w:szCs w:val="22"/>
              </w:rPr>
            </w:pPr>
          </w:p>
        </w:tc>
        <w:tc>
          <w:tcPr>
            <w:tcW w:w="3969" w:type="dxa"/>
          </w:tcPr>
          <w:p w14:paraId="0C64B23A" w14:textId="77777777" w:rsidR="00C56028" w:rsidRPr="00DA5D52" w:rsidRDefault="00C56028" w:rsidP="00C56028">
            <w:pPr>
              <w:rPr>
                <w:rFonts w:eastAsia="Trebuchet MS" w:cstheme="minorHAnsi"/>
                <w:color w:val="1F3864" w:themeColor="accent1" w:themeShade="80"/>
              </w:rPr>
            </w:pPr>
            <w:r w:rsidRPr="00DA5D52">
              <w:rPr>
                <w:rFonts w:eastAsia="Trebuchet MS" w:cstheme="minorHAnsi"/>
              </w:rPr>
              <w:t xml:space="preserve">Able to contain and work with organisational stress and able to hold the stress of others. </w:t>
            </w:r>
          </w:p>
          <w:p w14:paraId="0E161EF5" w14:textId="77777777" w:rsidR="00C56028" w:rsidRPr="00DA5D52" w:rsidRDefault="00C56028" w:rsidP="00C56028">
            <w:pPr>
              <w:rPr>
                <w:rFonts w:eastAsia="Trebuchet MS" w:cstheme="minorHAnsi"/>
                <w:b/>
                <w:bCs/>
                <w:color w:val="1F3864" w:themeColor="accent1" w:themeShade="80"/>
              </w:rPr>
            </w:pPr>
          </w:p>
          <w:p w14:paraId="01AE6637" w14:textId="77777777" w:rsidR="00C56028" w:rsidRDefault="00C56028" w:rsidP="00C56028">
            <w:pPr>
              <w:rPr>
                <w:rFonts w:eastAsia="Trebuchet MS" w:cstheme="minorHAnsi"/>
              </w:rPr>
            </w:pPr>
            <w:r w:rsidRPr="00DA5D52">
              <w:rPr>
                <w:rFonts w:eastAsia="Trebuchet MS" w:cstheme="minorHAnsi"/>
              </w:rPr>
              <w:t>Able to manage exposure to traumatic circumstances</w:t>
            </w:r>
            <w:r>
              <w:rPr>
                <w:rFonts w:eastAsia="Trebuchet MS" w:cstheme="minorHAnsi"/>
              </w:rPr>
              <w:t xml:space="preserve"> including </w:t>
            </w:r>
            <w:r w:rsidRPr="00DA5D52">
              <w:rPr>
                <w:rFonts w:eastAsia="Trebuchet MS" w:cstheme="minorHAnsi"/>
              </w:rPr>
              <w:t>frequent exposure to highly distressing</w:t>
            </w:r>
            <w:r>
              <w:rPr>
                <w:rFonts w:eastAsia="Trebuchet MS" w:cstheme="minorHAnsi"/>
              </w:rPr>
              <w:t xml:space="preserve"> and </w:t>
            </w:r>
            <w:r w:rsidRPr="00DA5D52">
              <w:rPr>
                <w:rFonts w:eastAsia="Trebuchet MS" w:cstheme="minorHAnsi"/>
              </w:rPr>
              <w:t>emotional circumstances</w:t>
            </w:r>
            <w:r>
              <w:rPr>
                <w:rFonts w:eastAsia="Trebuchet MS" w:cstheme="minorHAnsi"/>
              </w:rPr>
              <w:t>.</w:t>
            </w:r>
            <w:r w:rsidRPr="00DA5D52">
              <w:rPr>
                <w:rFonts w:eastAsia="Trebuchet MS" w:cstheme="minorHAnsi"/>
              </w:rPr>
              <w:t xml:space="preserve"> </w:t>
            </w:r>
          </w:p>
          <w:p w14:paraId="1A93EADB" w14:textId="77777777" w:rsidR="00C56028" w:rsidRDefault="00C56028" w:rsidP="00C56028">
            <w:pPr>
              <w:rPr>
                <w:rFonts w:eastAsia="Trebuchet MS" w:cstheme="minorHAnsi"/>
                <w:color w:val="1F3864" w:themeColor="accent1" w:themeShade="80"/>
              </w:rPr>
            </w:pPr>
          </w:p>
          <w:p w14:paraId="37A580BE" w14:textId="77777777" w:rsidR="00C56028" w:rsidRPr="00DA5D52" w:rsidRDefault="00C56028" w:rsidP="00C56028">
            <w:pPr>
              <w:rPr>
                <w:rFonts w:eastAsia="Trebuchet MS" w:cstheme="minorHAnsi"/>
                <w:color w:val="1F3864" w:themeColor="accent1" w:themeShade="80"/>
              </w:rPr>
            </w:pPr>
            <w:r w:rsidRPr="00DA5D52">
              <w:rPr>
                <w:rFonts w:eastAsia="Trebuchet MS" w:cstheme="minorHAnsi"/>
              </w:rPr>
              <w:t xml:space="preserve">Respectful approach to </w:t>
            </w:r>
            <w:r>
              <w:rPr>
                <w:rFonts w:eastAsia="Trebuchet MS" w:cstheme="minorHAnsi"/>
              </w:rPr>
              <w:t xml:space="preserve">others, </w:t>
            </w:r>
            <w:r w:rsidRPr="00DA5D52">
              <w:rPr>
                <w:rFonts w:eastAsia="Trebuchet MS" w:cstheme="minorHAnsi"/>
              </w:rPr>
              <w:t xml:space="preserve">including clients, colleagues, and fellow professionals.  </w:t>
            </w:r>
          </w:p>
          <w:p w14:paraId="6348D7CE" w14:textId="77777777" w:rsidR="00C56028" w:rsidRPr="00DA5D52" w:rsidRDefault="00C56028" w:rsidP="00C56028">
            <w:pPr>
              <w:rPr>
                <w:rFonts w:eastAsia="Trebuchet MS" w:cstheme="minorHAnsi"/>
                <w:color w:val="1F3864" w:themeColor="accent1" w:themeShade="80"/>
              </w:rPr>
            </w:pPr>
          </w:p>
          <w:p w14:paraId="7C8BF16B" w14:textId="77777777" w:rsidR="00C56028" w:rsidRPr="00DA5D52" w:rsidRDefault="00C56028" w:rsidP="00C56028">
            <w:pPr>
              <w:rPr>
                <w:rFonts w:eastAsia="Trebuchet MS" w:cstheme="minorHAnsi"/>
                <w:color w:val="1F3864" w:themeColor="accent1" w:themeShade="80"/>
              </w:rPr>
            </w:pPr>
            <w:r>
              <w:rPr>
                <w:rFonts w:eastAsia="Trebuchet MS" w:cstheme="minorHAnsi"/>
              </w:rPr>
              <w:t xml:space="preserve">Able to </w:t>
            </w:r>
            <w:r w:rsidRPr="00DA5D52">
              <w:rPr>
                <w:rFonts w:eastAsia="Trebuchet MS" w:cstheme="minorHAnsi"/>
              </w:rPr>
              <w:t xml:space="preserve">negotiate and </w:t>
            </w:r>
            <w:r>
              <w:rPr>
                <w:rFonts w:eastAsia="Trebuchet MS" w:cstheme="minorHAnsi"/>
              </w:rPr>
              <w:t xml:space="preserve">manage </w:t>
            </w:r>
            <w:r w:rsidRPr="00DA5D52">
              <w:rPr>
                <w:rFonts w:eastAsia="Trebuchet MS" w:cstheme="minorHAnsi"/>
              </w:rPr>
              <w:t>confrontation effectively and professionally.</w:t>
            </w:r>
          </w:p>
          <w:p w14:paraId="53596153" w14:textId="77777777" w:rsidR="00C56028" w:rsidRPr="00720936" w:rsidRDefault="00C56028" w:rsidP="00C56028">
            <w:pPr>
              <w:rPr>
                <w:rFonts w:ascii="Brix Sans Light" w:hAnsi="Brix Sans Light" w:cstheme="majorHAnsi"/>
                <w:sz w:val="22"/>
                <w:szCs w:val="22"/>
              </w:rPr>
            </w:pPr>
          </w:p>
        </w:tc>
        <w:tc>
          <w:tcPr>
            <w:tcW w:w="2330" w:type="dxa"/>
          </w:tcPr>
          <w:p w14:paraId="26F78FD6" w14:textId="77777777" w:rsidR="00C56028" w:rsidRPr="00720936" w:rsidRDefault="00C56028" w:rsidP="00C56028">
            <w:pPr>
              <w:rPr>
                <w:rFonts w:ascii="Brix Sans Light" w:hAnsi="Brix Sans Light" w:cstheme="majorHAnsi"/>
                <w:sz w:val="22"/>
                <w:szCs w:val="22"/>
              </w:rPr>
            </w:pPr>
          </w:p>
        </w:tc>
      </w:tr>
      <w:tr w:rsidR="00C56028" w:rsidRPr="00720936" w14:paraId="32A3939D" w14:textId="77777777" w:rsidTr="00C56028">
        <w:tc>
          <w:tcPr>
            <w:tcW w:w="2405" w:type="dxa"/>
          </w:tcPr>
          <w:p w14:paraId="3BFB2B8C" w14:textId="2D29AF60" w:rsidR="00C56028" w:rsidRPr="00720936" w:rsidRDefault="00C56028" w:rsidP="00C56028">
            <w:pPr>
              <w:rPr>
                <w:rFonts w:ascii="Brix Sans Light" w:hAnsi="Brix Sans Light" w:cstheme="majorHAnsi"/>
                <w:sz w:val="22"/>
                <w:szCs w:val="22"/>
              </w:rPr>
            </w:pPr>
            <w:r>
              <w:t>Other</w:t>
            </w:r>
          </w:p>
        </w:tc>
        <w:tc>
          <w:tcPr>
            <w:tcW w:w="3969" w:type="dxa"/>
          </w:tcPr>
          <w:p w14:paraId="3339C659" w14:textId="77777777" w:rsidR="00C56028" w:rsidRDefault="00C56028" w:rsidP="00C56028">
            <w:pPr>
              <w:rPr>
                <w:rFonts w:eastAsia="Trebuchet MS" w:cstheme="minorHAnsi"/>
              </w:rPr>
            </w:pPr>
            <w:r w:rsidRPr="21FDE55F">
              <w:rPr>
                <w:rFonts w:eastAsia="Trebuchet MS"/>
              </w:rPr>
              <w:t>Confident in Lone Working and following safety procedures.</w:t>
            </w:r>
          </w:p>
          <w:p w14:paraId="4A7B2151" w14:textId="77777777" w:rsidR="00C56028" w:rsidRDefault="00C56028" w:rsidP="00C56028">
            <w:pPr>
              <w:rPr>
                <w:rFonts w:eastAsia="Trebuchet MS"/>
              </w:rPr>
            </w:pPr>
          </w:p>
          <w:p w14:paraId="70BA0A39" w14:textId="77777777" w:rsidR="00C56028" w:rsidRPr="00A22AD1" w:rsidRDefault="00C56028" w:rsidP="00C56028">
            <w:pPr>
              <w:rPr>
                <w:rFonts w:eastAsia="Trebuchet MS" w:cstheme="minorHAnsi"/>
              </w:rPr>
            </w:pPr>
            <w:r w:rsidRPr="00A22AD1">
              <w:rPr>
                <w:rFonts w:eastAsia="Trebuchet MS" w:cstheme="minorHAnsi"/>
              </w:rPr>
              <w:t>Be accountable for own work, autonomous c</w:t>
            </w:r>
            <w:r>
              <w:rPr>
                <w:rFonts w:eastAsia="Trebuchet MS" w:cstheme="minorHAnsi"/>
              </w:rPr>
              <w:t>ounselling</w:t>
            </w:r>
            <w:r w:rsidRPr="00A22AD1">
              <w:rPr>
                <w:rFonts w:eastAsia="Trebuchet MS" w:cstheme="minorHAnsi"/>
              </w:rPr>
              <w:t xml:space="preserve"> practice</w:t>
            </w:r>
            <w:r>
              <w:rPr>
                <w:rFonts w:eastAsia="Trebuchet MS" w:cstheme="minorHAnsi"/>
              </w:rPr>
              <w:t xml:space="preserve">. </w:t>
            </w:r>
            <w:r w:rsidRPr="00A22AD1">
              <w:rPr>
                <w:rFonts w:eastAsia="Trebuchet MS" w:cstheme="minorHAnsi"/>
              </w:rPr>
              <w:t xml:space="preserve"> </w:t>
            </w:r>
          </w:p>
          <w:p w14:paraId="2C2718D5" w14:textId="77777777" w:rsidR="00C56028" w:rsidRPr="00A22AD1" w:rsidRDefault="00C56028" w:rsidP="00C56028">
            <w:pPr>
              <w:rPr>
                <w:rFonts w:eastAsia="Trebuchet MS" w:cstheme="minorHAnsi"/>
                <w:color w:val="1F3864" w:themeColor="accent1" w:themeShade="80"/>
              </w:rPr>
            </w:pPr>
          </w:p>
          <w:p w14:paraId="72F05B0C" w14:textId="77777777" w:rsidR="00C56028" w:rsidRDefault="00C56028" w:rsidP="00C56028">
            <w:pPr>
              <w:shd w:val="clear" w:color="auto" w:fill="FFFFFF"/>
              <w:rPr>
                <w:rFonts w:cstheme="minorHAnsi"/>
                <w:color w:val="000000" w:themeColor="text1"/>
              </w:rPr>
            </w:pPr>
            <w:r w:rsidRPr="21FDE55F">
              <w:rPr>
                <w:color w:val="000000" w:themeColor="text1"/>
              </w:rPr>
              <w:t xml:space="preserve">Work towards defined results. </w:t>
            </w:r>
          </w:p>
          <w:p w14:paraId="09E1D9FE" w14:textId="77777777" w:rsidR="00C56028" w:rsidRDefault="00C56028" w:rsidP="00C56028">
            <w:pPr>
              <w:shd w:val="clear" w:color="auto" w:fill="FFFFFF" w:themeFill="background1"/>
              <w:rPr>
                <w:color w:val="000000" w:themeColor="text1"/>
              </w:rPr>
            </w:pPr>
          </w:p>
          <w:p w14:paraId="387497DA" w14:textId="77777777" w:rsidR="00C56028" w:rsidRPr="00A22AD1" w:rsidRDefault="00C56028" w:rsidP="00C56028">
            <w:pPr>
              <w:shd w:val="clear" w:color="auto" w:fill="FFFFFF"/>
              <w:rPr>
                <w:rFonts w:cstheme="minorHAnsi"/>
                <w:color w:val="000000" w:themeColor="text1"/>
              </w:rPr>
            </w:pPr>
            <w:r>
              <w:rPr>
                <w:rFonts w:cstheme="minorHAnsi"/>
                <w:color w:val="000000" w:themeColor="text1"/>
              </w:rPr>
              <w:t xml:space="preserve">Be </w:t>
            </w:r>
            <w:r w:rsidRPr="00A22AD1">
              <w:rPr>
                <w:rFonts w:cstheme="minorHAnsi"/>
                <w:color w:val="000000" w:themeColor="text1"/>
              </w:rPr>
              <w:t>committed</w:t>
            </w:r>
            <w:r>
              <w:rPr>
                <w:rFonts w:cstheme="minorHAnsi"/>
                <w:color w:val="000000" w:themeColor="text1"/>
              </w:rPr>
              <w:t xml:space="preserve"> </w:t>
            </w:r>
            <w:r w:rsidRPr="00A22AD1">
              <w:rPr>
                <w:rFonts w:cstheme="minorHAnsi"/>
                <w:color w:val="000000" w:themeColor="text1"/>
              </w:rPr>
              <w:t xml:space="preserve">to </w:t>
            </w:r>
            <w:r>
              <w:rPr>
                <w:rFonts w:cstheme="minorHAnsi"/>
                <w:color w:val="000000" w:themeColor="text1"/>
              </w:rPr>
              <w:t>working collaboratively with clients.</w:t>
            </w:r>
            <w:r w:rsidRPr="00A22AD1">
              <w:rPr>
                <w:rFonts w:cstheme="minorHAnsi"/>
                <w:color w:val="000000" w:themeColor="text1"/>
              </w:rPr>
              <w:t xml:space="preserve"> </w:t>
            </w:r>
          </w:p>
          <w:p w14:paraId="6BF250F9" w14:textId="77777777" w:rsidR="00C56028" w:rsidRPr="00A22AD1" w:rsidRDefault="00C56028" w:rsidP="00C56028">
            <w:pPr>
              <w:shd w:val="clear" w:color="auto" w:fill="FFFFFF"/>
              <w:rPr>
                <w:rFonts w:cstheme="minorHAnsi"/>
                <w:color w:val="000000" w:themeColor="text1"/>
              </w:rPr>
            </w:pPr>
          </w:p>
          <w:p w14:paraId="4A1944F0" w14:textId="77777777" w:rsidR="00C56028" w:rsidRPr="00AD585B" w:rsidRDefault="00C56028" w:rsidP="00C56028">
            <w:pPr>
              <w:shd w:val="clear" w:color="auto" w:fill="FFFFFF"/>
              <w:rPr>
                <w:rFonts w:eastAsia="Trebuchet MS" w:cstheme="minorHAnsi"/>
                <w:color w:val="1F3864" w:themeColor="accent1" w:themeShade="80"/>
              </w:rPr>
            </w:pPr>
            <w:r>
              <w:rPr>
                <w:rFonts w:cstheme="minorHAnsi"/>
                <w:color w:val="000000" w:themeColor="text1"/>
              </w:rPr>
              <w:t xml:space="preserve">Be willing </w:t>
            </w:r>
            <w:r w:rsidRPr="00A22AD1">
              <w:rPr>
                <w:rFonts w:cstheme="minorHAnsi"/>
                <w:color w:val="000000" w:themeColor="text1"/>
              </w:rPr>
              <w:t xml:space="preserve">to travel occasionally and work outside normal office hours. </w:t>
            </w:r>
          </w:p>
          <w:p w14:paraId="2DC2647D" w14:textId="77777777" w:rsidR="00C56028" w:rsidRPr="00720936" w:rsidRDefault="00C56028" w:rsidP="00C56028">
            <w:pPr>
              <w:rPr>
                <w:rFonts w:ascii="Brix Sans Light" w:hAnsi="Brix Sans Light" w:cstheme="majorHAnsi"/>
                <w:sz w:val="22"/>
                <w:szCs w:val="22"/>
              </w:rPr>
            </w:pPr>
          </w:p>
        </w:tc>
        <w:tc>
          <w:tcPr>
            <w:tcW w:w="2330" w:type="dxa"/>
          </w:tcPr>
          <w:p w14:paraId="1595E5F5" w14:textId="77777777" w:rsidR="00C56028" w:rsidRPr="00720936" w:rsidRDefault="00C56028" w:rsidP="00C56028">
            <w:pPr>
              <w:rPr>
                <w:rFonts w:ascii="Brix Sans Light" w:hAnsi="Brix Sans Light" w:cstheme="majorHAnsi"/>
                <w:sz w:val="22"/>
                <w:szCs w:val="22"/>
              </w:rPr>
            </w:pPr>
          </w:p>
        </w:tc>
      </w:tr>
      <w:tr w:rsidR="00C56028" w:rsidRPr="00720936" w14:paraId="429822D1" w14:textId="77777777" w:rsidTr="00C56028">
        <w:tc>
          <w:tcPr>
            <w:tcW w:w="2405" w:type="dxa"/>
          </w:tcPr>
          <w:p w14:paraId="46C81402" w14:textId="467674FE" w:rsidR="00C56028" w:rsidRPr="00720936" w:rsidRDefault="00C56028" w:rsidP="00C56028">
            <w:pPr>
              <w:rPr>
                <w:rFonts w:ascii="Brix Sans Light" w:hAnsi="Brix Sans Light" w:cstheme="majorHAnsi"/>
                <w:sz w:val="22"/>
                <w:szCs w:val="22"/>
              </w:rPr>
            </w:pPr>
            <w:r w:rsidRPr="00DD4168">
              <w:rPr>
                <w:rFonts w:eastAsia="Trebuchet MS" w:cstheme="minorHAnsi"/>
                <w:b/>
                <w:bCs/>
              </w:rPr>
              <w:t>Qualifications/ Membership of Professional Body</w:t>
            </w:r>
          </w:p>
        </w:tc>
        <w:tc>
          <w:tcPr>
            <w:tcW w:w="3969" w:type="dxa"/>
          </w:tcPr>
          <w:p w14:paraId="49730AE4" w14:textId="77777777" w:rsidR="00C56028" w:rsidRDefault="00C56028" w:rsidP="00C56028">
            <w:r>
              <w:t>Person Centred Experiential Counselling for Depression (PCE-CfD} or at least part 1 of the training completed</w:t>
            </w:r>
          </w:p>
          <w:p w14:paraId="04B469D2" w14:textId="77777777" w:rsidR="00C56028" w:rsidRPr="00720936" w:rsidRDefault="00C56028" w:rsidP="00C56028">
            <w:pPr>
              <w:rPr>
                <w:rFonts w:ascii="Brix Sans Light" w:hAnsi="Brix Sans Light" w:cstheme="majorHAnsi"/>
                <w:sz w:val="22"/>
                <w:szCs w:val="22"/>
              </w:rPr>
            </w:pPr>
          </w:p>
        </w:tc>
        <w:tc>
          <w:tcPr>
            <w:tcW w:w="2330" w:type="dxa"/>
          </w:tcPr>
          <w:p w14:paraId="184C4FA5" w14:textId="77777777" w:rsidR="00C56028" w:rsidRPr="00720936" w:rsidRDefault="00C56028" w:rsidP="00C56028">
            <w:pPr>
              <w:rPr>
                <w:rFonts w:ascii="Brix Sans Light" w:hAnsi="Brix Sans Light" w:cstheme="majorHAnsi"/>
                <w:sz w:val="22"/>
                <w:szCs w:val="22"/>
              </w:rPr>
            </w:pPr>
          </w:p>
        </w:tc>
      </w:tr>
      <w:tr w:rsidR="00C56028" w:rsidRPr="00720936" w14:paraId="7CE178CB" w14:textId="77777777" w:rsidTr="00C56028">
        <w:tc>
          <w:tcPr>
            <w:tcW w:w="2405" w:type="dxa"/>
          </w:tcPr>
          <w:p w14:paraId="5D75A5C4" w14:textId="77777777" w:rsidR="00C56028" w:rsidRPr="00DD4168" w:rsidRDefault="00C56028" w:rsidP="00C56028">
            <w:pPr>
              <w:jc w:val="center"/>
              <w:rPr>
                <w:b/>
                <w:bCs/>
              </w:rPr>
            </w:pPr>
            <w:r w:rsidRPr="00DD4168">
              <w:rPr>
                <w:b/>
                <w:bCs/>
              </w:rPr>
              <w:lastRenderedPageBreak/>
              <w:t>Experience</w:t>
            </w:r>
          </w:p>
          <w:p w14:paraId="528CBEDC" w14:textId="77777777" w:rsidR="00C56028" w:rsidRPr="00720936" w:rsidRDefault="00C56028" w:rsidP="00C56028">
            <w:pPr>
              <w:rPr>
                <w:rFonts w:ascii="Brix Sans Light" w:hAnsi="Brix Sans Light" w:cstheme="majorHAnsi"/>
                <w:sz w:val="22"/>
                <w:szCs w:val="22"/>
              </w:rPr>
            </w:pPr>
          </w:p>
        </w:tc>
        <w:tc>
          <w:tcPr>
            <w:tcW w:w="3969" w:type="dxa"/>
          </w:tcPr>
          <w:p w14:paraId="05654159" w14:textId="77777777" w:rsidR="00C56028" w:rsidRDefault="00C56028" w:rsidP="00C56028">
            <w:pPr>
              <w:rPr>
                <w:rFonts w:eastAsia="Trebuchet MS" w:cstheme="minorHAnsi"/>
              </w:rPr>
            </w:pPr>
            <w:r>
              <w:rPr>
                <w:rFonts w:eastAsia="Trebuchet MS" w:cstheme="minorHAnsi"/>
              </w:rPr>
              <w:t>Experience of delivering Counselling for Depression within a Talking Therapies service.</w:t>
            </w:r>
          </w:p>
          <w:p w14:paraId="1888B173" w14:textId="77777777" w:rsidR="00C56028" w:rsidRDefault="00C56028" w:rsidP="00C56028">
            <w:pPr>
              <w:rPr>
                <w:rFonts w:eastAsia="Trebuchet MS" w:cstheme="minorHAnsi"/>
              </w:rPr>
            </w:pPr>
          </w:p>
          <w:p w14:paraId="4F0C5282" w14:textId="77777777" w:rsidR="00C56028" w:rsidRDefault="00C56028" w:rsidP="00C56028">
            <w:pPr>
              <w:rPr>
                <w:rFonts w:eastAsia="Trebuchet MS" w:cstheme="minorHAnsi"/>
              </w:rPr>
            </w:pPr>
            <w:r>
              <w:rPr>
                <w:rFonts w:eastAsia="Trebuchet MS" w:cstheme="minorHAnsi"/>
              </w:rPr>
              <w:t>Experience in safeguarding issues and the assessment and management of clinical risk.</w:t>
            </w:r>
          </w:p>
          <w:p w14:paraId="26C614E1" w14:textId="77777777" w:rsidR="00C56028" w:rsidRDefault="00C56028" w:rsidP="00C56028">
            <w:pPr>
              <w:rPr>
                <w:rFonts w:eastAsia="Trebuchet MS" w:cstheme="minorHAnsi"/>
              </w:rPr>
            </w:pPr>
          </w:p>
          <w:p w14:paraId="181BB270" w14:textId="77777777" w:rsidR="00C56028" w:rsidRDefault="00C56028" w:rsidP="00C56028">
            <w:pPr>
              <w:rPr>
                <w:rFonts w:eastAsia="Trebuchet MS" w:cstheme="minorHAnsi"/>
              </w:rPr>
            </w:pPr>
            <w:r>
              <w:rPr>
                <w:rFonts w:eastAsia="Trebuchet MS" w:cstheme="minorHAnsi"/>
              </w:rPr>
              <w:t>Experience in recording and handling clinical data in a sensitive manner and in line with data protection.</w:t>
            </w:r>
          </w:p>
          <w:p w14:paraId="79993D17" w14:textId="77777777" w:rsidR="00C56028" w:rsidRDefault="00C56028" w:rsidP="00C56028">
            <w:pPr>
              <w:rPr>
                <w:rFonts w:eastAsia="Trebuchet MS" w:cstheme="minorHAnsi"/>
              </w:rPr>
            </w:pPr>
          </w:p>
          <w:p w14:paraId="06C9835C" w14:textId="77777777" w:rsidR="00C56028" w:rsidRPr="000446BC" w:rsidRDefault="00C56028" w:rsidP="00C56028">
            <w:pPr>
              <w:rPr>
                <w:rFonts w:eastAsia="Trebuchet MS" w:cstheme="minorHAnsi"/>
                <w:color w:val="1F3864" w:themeColor="accent1" w:themeShade="80"/>
              </w:rPr>
            </w:pPr>
            <w:r w:rsidRPr="000446BC">
              <w:rPr>
                <w:rFonts w:eastAsia="Trebuchet MS" w:cstheme="minorHAnsi"/>
              </w:rPr>
              <w:t>Experience of service evaluation and service improvement.</w:t>
            </w:r>
          </w:p>
          <w:p w14:paraId="7BC11864" w14:textId="77777777" w:rsidR="00C56028" w:rsidRPr="000446BC" w:rsidRDefault="00C56028" w:rsidP="00C56028">
            <w:pPr>
              <w:rPr>
                <w:rFonts w:eastAsia="Trebuchet MS" w:cstheme="minorHAnsi"/>
                <w:color w:val="1F3864" w:themeColor="accent1" w:themeShade="80"/>
              </w:rPr>
            </w:pPr>
          </w:p>
          <w:p w14:paraId="39D1A878" w14:textId="77777777" w:rsidR="00C56028" w:rsidRDefault="00C56028" w:rsidP="00C56028">
            <w:r>
              <w:t>Experience of working with diverse communities within a multicultural setting.</w:t>
            </w:r>
          </w:p>
          <w:p w14:paraId="7C82E911" w14:textId="77777777" w:rsidR="00C56028" w:rsidRPr="00720936" w:rsidRDefault="00C56028" w:rsidP="00C56028">
            <w:pPr>
              <w:rPr>
                <w:rFonts w:ascii="Brix Sans Light" w:hAnsi="Brix Sans Light" w:cstheme="majorHAnsi"/>
                <w:sz w:val="22"/>
                <w:szCs w:val="22"/>
              </w:rPr>
            </w:pPr>
          </w:p>
        </w:tc>
        <w:tc>
          <w:tcPr>
            <w:tcW w:w="2330" w:type="dxa"/>
          </w:tcPr>
          <w:p w14:paraId="453427A3" w14:textId="77777777" w:rsidR="00C56028" w:rsidRPr="00720936" w:rsidRDefault="00C56028" w:rsidP="00C56028">
            <w:pPr>
              <w:rPr>
                <w:rFonts w:ascii="Brix Sans Light" w:hAnsi="Brix Sans Light" w:cstheme="majorHAnsi"/>
                <w:sz w:val="22"/>
                <w:szCs w:val="22"/>
              </w:rPr>
            </w:pPr>
          </w:p>
        </w:tc>
      </w:tr>
    </w:tbl>
    <w:p w14:paraId="37247AC7" w14:textId="77777777" w:rsidR="00565620" w:rsidRPr="00720936" w:rsidRDefault="00565620" w:rsidP="00612A23">
      <w:pPr>
        <w:rPr>
          <w:rFonts w:ascii="Brix Sans Light" w:hAnsi="Brix Sans Light" w:cstheme="majorHAnsi"/>
          <w:sz w:val="22"/>
          <w:szCs w:val="22"/>
        </w:rPr>
      </w:pPr>
    </w:p>
    <w:p w14:paraId="0CE4A624" w14:textId="77777777" w:rsidR="00565620" w:rsidRPr="00720936" w:rsidRDefault="00565620" w:rsidP="00612A23">
      <w:pPr>
        <w:rPr>
          <w:rFonts w:ascii="Brix Sans Light" w:hAnsi="Brix Sans Light" w:cstheme="majorHAnsi"/>
          <w:sz w:val="22"/>
          <w:szCs w:val="22"/>
        </w:rPr>
      </w:pPr>
    </w:p>
    <w:p w14:paraId="79E6983C" w14:textId="77777777"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p w14:paraId="6083CE9F" w14:textId="77777777" w:rsidR="00896448" w:rsidRDefault="00896448" w:rsidP="00612A23">
      <w:pPr>
        <w:rPr>
          <w:rFonts w:ascii="Brix Sans Light" w:hAnsi="Brix Sans Light" w:cstheme="majorHAnsi"/>
          <w:sz w:val="22"/>
          <w:szCs w:val="22"/>
        </w:rPr>
      </w:pPr>
    </w:p>
    <w:p w14:paraId="23B57F00" w14:textId="2C946F02" w:rsidR="003361D5" w:rsidRDefault="003361D5" w:rsidP="00612A23">
      <w:pPr>
        <w:rPr>
          <w:rFonts w:ascii="Brix Sans Light" w:hAnsi="Brix Sans Light" w:cstheme="majorHAnsi"/>
          <w:sz w:val="22"/>
          <w:szCs w:val="22"/>
        </w:rPr>
      </w:pPr>
      <w:r w:rsidRPr="003361D5">
        <w:rPr>
          <w:rFonts w:ascii="Brix Sans Light" w:hAnsi="Brix Sans Light" w:cstheme="majorHAnsi"/>
          <w:sz w:val="22"/>
          <w:szCs w:val="22"/>
        </w:rPr>
        <w:t xml:space="preserve">If your role involves driving for work purposes, you </w:t>
      </w:r>
      <w:r>
        <w:rPr>
          <w:rFonts w:ascii="Brix Sans Light" w:hAnsi="Brix Sans Light" w:cstheme="majorHAnsi"/>
          <w:sz w:val="22"/>
          <w:szCs w:val="22"/>
        </w:rPr>
        <w:t>will</w:t>
      </w:r>
      <w:r w:rsidRPr="003361D5">
        <w:rPr>
          <w:rFonts w:ascii="Brix Sans Light" w:hAnsi="Brix Sans Light" w:cstheme="majorHAnsi"/>
          <w:sz w:val="22"/>
          <w:szCs w:val="22"/>
        </w:rPr>
        <w:t xml:space="preserve"> be required to obtain Class 1 business insurance.</w:t>
      </w:r>
    </w:p>
    <w:sectPr w:rsidR="003361D5" w:rsidSect="001728DD">
      <w:headerReference w:type="default" r:id="rId11"/>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6613" w14:textId="77777777" w:rsidR="00AD6F14" w:rsidRDefault="00AD6F14">
      <w:r>
        <w:separator/>
      </w:r>
    </w:p>
  </w:endnote>
  <w:endnote w:type="continuationSeparator" w:id="0">
    <w:p w14:paraId="4D37C841" w14:textId="77777777" w:rsidR="00AD6F14" w:rsidRDefault="00AD6F14">
      <w:r>
        <w:continuationSeparator/>
      </w:r>
    </w:p>
  </w:endnote>
  <w:endnote w:type="continuationNotice" w:id="1">
    <w:p w14:paraId="54E90E89" w14:textId="77777777" w:rsidR="00AD6F14" w:rsidRDefault="00A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x Sans Light">
    <w:altName w:val="Calibri"/>
    <w:charset w:val="00"/>
    <w:family w:val="auto"/>
    <w:pitch w:val="variable"/>
    <w:sig w:usb0="A00000AF" w:usb1="5000207B" w:usb2="00000000" w:usb3="00000000" w:csb0="00000093"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6C6C" w14:textId="77777777" w:rsidR="00AD6F14" w:rsidRDefault="00AD6F14">
      <w:r>
        <w:separator/>
      </w:r>
    </w:p>
  </w:footnote>
  <w:footnote w:type="continuationSeparator" w:id="0">
    <w:p w14:paraId="6A0FE944" w14:textId="77777777" w:rsidR="00AD6F14" w:rsidRDefault="00AD6F14">
      <w:r>
        <w:continuationSeparator/>
      </w:r>
    </w:p>
  </w:footnote>
  <w:footnote w:type="continuationNotice" w:id="1">
    <w:p w14:paraId="3BA74BD9" w14:textId="77777777" w:rsidR="00AD6F14" w:rsidRDefault="00A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A56"/>
    <w:multiLevelType w:val="hybridMultilevel"/>
    <w:tmpl w:val="0DB8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339F"/>
    <w:multiLevelType w:val="hybridMultilevel"/>
    <w:tmpl w:val="D42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482"/>
    <w:multiLevelType w:val="hybridMultilevel"/>
    <w:tmpl w:val="46E423C8"/>
    <w:lvl w:ilvl="0" w:tplc="F40053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700E9"/>
    <w:multiLevelType w:val="hybridMultilevel"/>
    <w:tmpl w:val="5EB4A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9444E"/>
    <w:multiLevelType w:val="hybridMultilevel"/>
    <w:tmpl w:val="2A8C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3D186"/>
    <w:multiLevelType w:val="hybridMultilevel"/>
    <w:tmpl w:val="35E627CA"/>
    <w:lvl w:ilvl="0" w:tplc="F4005300">
      <w:start w:val="1"/>
      <w:numFmt w:val="bullet"/>
      <w:lvlText w:val=""/>
      <w:lvlJc w:val="left"/>
      <w:pPr>
        <w:ind w:left="720" w:hanging="360"/>
      </w:pPr>
      <w:rPr>
        <w:rFonts w:ascii="Symbol" w:hAnsi="Symbol" w:hint="default"/>
      </w:rPr>
    </w:lvl>
    <w:lvl w:ilvl="1" w:tplc="9BAA601E">
      <w:start w:val="1"/>
      <w:numFmt w:val="bullet"/>
      <w:lvlText w:val="o"/>
      <w:lvlJc w:val="left"/>
      <w:pPr>
        <w:ind w:left="1440" w:hanging="360"/>
      </w:pPr>
      <w:rPr>
        <w:rFonts w:ascii="Courier New" w:hAnsi="Courier New" w:hint="default"/>
      </w:rPr>
    </w:lvl>
    <w:lvl w:ilvl="2" w:tplc="C734A77E">
      <w:start w:val="1"/>
      <w:numFmt w:val="bullet"/>
      <w:lvlText w:val=""/>
      <w:lvlJc w:val="left"/>
      <w:pPr>
        <w:ind w:left="2160" w:hanging="360"/>
      </w:pPr>
      <w:rPr>
        <w:rFonts w:ascii="Wingdings" w:hAnsi="Wingdings" w:hint="default"/>
      </w:rPr>
    </w:lvl>
    <w:lvl w:ilvl="3" w:tplc="1416DD66">
      <w:start w:val="1"/>
      <w:numFmt w:val="bullet"/>
      <w:lvlText w:val=""/>
      <w:lvlJc w:val="left"/>
      <w:pPr>
        <w:ind w:left="2880" w:hanging="360"/>
      </w:pPr>
      <w:rPr>
        <w:rFonts w:ascii="Symbol" w:hAnsi="Symbol" w:hint="default"/>
      </w:rPr>
    </w:lvl>
    <w:lvl w:ilvl="4" w:tplc="0AB065D8">
      <w:start w:val="1"/>
      <w:numFmt w:val="bullet"/>
      <w:lvlText w:val="o"/>
      <w:lvlJc w:val="left"/>
      <w:pPr>
        <w:ind w:left="3600" w:hanging="360"/>
      </w:pPr>
      <w:rPr>
        <w:rFonts w:ascii="Courier New" w:hAnsi="Courier New" w:hint="default"/>
      </w:rPr>
    </w:lvl>
    <w:lvl w:ilvl="5" w:tplc="A5F885A6">
      <w:start w:val="1"/>
      <w:numFmt w:val="bullet"/>
      <w:lvlText w:val=""/>
      <w:lvlJc w:val="left"/>
      <w:pPr>
        <w:ind w:left="4320" w:hanging="360"/>
      </w:pPr>
      <w:rPr>
        <w:rFonts w:ascii="Wingdings" w:hAnsi="Wingdings" w:hint="default"/>
      </w:rPr>
    </w:lvl>
    <w:lvl w:ilvl="6" w:tplc="A1108AB2">
      <w:start w:val="1"/>
      <w:numFmt w:val="bullet"/>
      <w:lvlText w:val=""/>
      <w:lvlJc w:val="left"/>
      <w:pPr>
        <w:ind w:left="5040" w:hanging="360"/>
      </w:pPr>
      <w:rPr>
        <w:rFonts w:ascii="Symbol" w:hAnsi="Symbol" w:hint="default"/>
      </w:rPr>
    </w:lvl>
    <w:lvl w:ilvl="7" w:tplc="6B02BB5A">
      <w:start w:val="1"/>
      <w:numFmt w:val="bullet"/>
      <w:lvlText w:val="o"/>
      <w:lvlJc w:val="left"/>
      <w:pPr>
        <w:ind w:left="5760" w:hanging="360"/>
      </w:pPr>
      <w:rPr>
        <w:rFonts w:ascii="Courier New" w:hAnsi="Courier New" w:hint="default"/>
      </w:rPr>
    </w:lvl>
    <w:lvl w:ilvl="8" w:tplc="0B26EBB4">
      <w:start w:val="1"/>
      <w:numFmt w:val="bullet"/>
      <w:lvlText w:val=""/>
      <w:lvlJc w:val="left"/>
      <w:pPr>
        <w:ind w:left="6480" w:hanging="360"/>
      </w:pPr>
      <w:rPr>
        <w:rFonts w:ascii="Wingdings" w:hAnsi="Wingdings" w:hint="default"/>
      </w:rPr>
    </w:lvl>
  </w:abstractNum>
  <w:abstractNum w:abstractNumId="8" w15:restartNumberingAfterBreak="0">
    <w:nsid w:val="47AE2934"/>
    <w:multiLevelType w:val="hybridMultilevel"/>
    <w:tmpl w:val="B532B0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395CB9"/>
    <w:multiLevelType w:val="hybridMultilevel"/>
    <w:tmpl w:val="CAC6C2BC"/>
    <w:lvl w:ilvl="0" w:tplc="07A6C5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266D3"/>
    <w:multiLevelType w:val="hybridMultilevel"/>
    <w:tmpl w:val="7F90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F7370"/>
    <w:multiLevelType w:val="hybridMultilevel"/>
    <w:tmpl w:val="B636E1DC"/>
    <w:lvl w:ilvl="0" w:tplc="07A6C5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D7B47"/>
    <w:multiLevelType w:val="hybridMultilevel"/>
    <w:tmpl w:val="6A8A889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7AFF6230"/>
    <w:multiLevelType w:val="hybridMultilevel"/>
    <w:tmpl w:val="16EA66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1569257">
    <w:abstractNumId w:val="9"/>
  </w:num>
  <w:num w:numId="2" w16cid:durableId="1513714512">
    <w:abstractNumId w:val="2"/>
  </w:num>
  <w:num w:numId="3" w16cid:durableId="1118834967">
    <w:abstractNumId w:val="6"/>
  </w:num>
  <w:num w:numId="4" w16cid:durableId="1609123948">
    <w:abstractNumId w:val="1"/>
  </w:num>
  <w:num w:numId="5" w16cid:durableId="1866554539">
    <w:abstractNumId w:val="10"/>
  </w:num>
  <w:num w:numId="6" w16cid:durableId="282343685">
    <w:abstractNumId w:val="5"/>
  </w:num>
  <w:num w:numId="7" w16cid:durableId="412319210">
    <w:abstractNumId w:val="8"/>
  </w:num>
  <w:num w:numId="8" w16cid:durableId="1126849194">
    <w:abstractNumId w:val="0"/>
  </w:num>
  <w:num w:numId="9" w16cid:durableId="2050370138">
    <w:abstractNumId w:val="13"/>
  </w:num>
  <w:num w:numId="10" w16cid:durableId="685520366">
    <w:abstractNumId w:val="4"/>
  </w:num>
  <w:num w:numId="11" w16cid:durableId="521481474">
    <w:abstractNumId w:val="11"/>
  </w:num>
  <w:num w:numId="12" w16cid:durableId="1852910651">
    <w:abstractNumId w:val="3"/>
  </w:num>
  <w:num w:numId="13" w16cid:durableId="1906911983">
    <w:abstractNumId w:val="7"/>
  </w:num>
  <w:num w:numId="14" w16cid:durableId="1640187197">
    <w:abstractNumId w:val="12"/>
  </w:num>
  <w:num w:numId="15" w16cid:durableId="589654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44E86"/>
    <w:rsid w:val="000457DE"/>
    <w:rsid w:val="00070BC6"/>
    <w:rsid w:val="000A327F"/>
    <w:rsid w:val="000D42EE"/>
    <w:rsid w:val="000E7C26"/>
    <w:rsid w:val="000F2AAC"/>
    <w:rsid w:val="00114764"/>
    <w:rsid w:val="00117E66"/>
    <w:rsid w:val="00133763"/>
    <w:rsid w:val="00144F53"/>
    <w:rsid w:val="001728DD"/>
    <w:rsid w:val="001B1481"/>
    <w:rsid w:val="001D563B"/>
    <w:rsid w:val="001E3B2E"/>
    <w:rsid w:val="001F0CC9"/>
    <w:rsid w:val="00202280"/>
    <w:rsid w:val="0021505F"/>
    <w:rsid w:val="00241487"/>
    <w:rsid w:val="002526FD"/>
    <w:rsid w:val="00254F97"/>
    <w:rsid w:val="0026281B"/>
    <w:rsid w:val="0027024A"/>
    <w:rsid w:val="0028248E"/>
    <w:rsid w:val="002B2135"/>
    <w:rsid w:val="002C34FB"/>
    <w:rsid w:val="002C54F1"/>
    <w:rsid w:val="002E4CEC"/>
    <w:rsid w:val="002F65B4"/>
    <w:rsid w:val="00303F87"/>
    <w:rsid w:val="00324E6E"/>
    <w:rsid w:val="003361D5"/>
    <w:rsid w:val="003403CD"/>
    <w:rsid w:val="00364F7D"/>
    <w:rsid w:val="00397148"/>
    <w:rsid w:val="003A3370"/>
    <w:rsid w:val="003B6F40"/>
    <w:rsid w:val="003D1340"/>
    <w:rsid w:val="00400375"/>
    <w:rsid w:val="004147CC"/>
    <w:rsid w:val="00454AA4"/>
    <w:rsid w:val="0045570A"/>
    <w:rsid w:val="00456ACA"/>
    <w:rsid w:val="004628EE"/>
    <w:rsid w:val="00465107"/>
    <w:rsid w:val="00475D93"/>
    <w:rsid w:val="00480C7C"/>
    <w:rsid w:val="004832EE"/>
    <w:rsid w:val="00486BB6"/>
    <w:rsid w:val="004A10A2"/>
    <w:rsid w:val="004A6DA2"/>
    <w:rsid w:val="004C69DB"/>
    <w:rsid w:val="004F06E2"/>
    <w:rsid w:val="00500DCA"/>
    <w:rsid w:val="005305F8"/>
    <w:rsid w:val="00532C35"/>
    <w:rsid w:val="00544F7E"/>
    <w:rsid w:val="005601EB"/>
    <w:rsid w:val="00565620"/>
    <w:rsid w:val="0057657D"/>
    <w:rsid w:val="005C214B"/>
    <w:rsid w:val="005C6F19"/>
    <w:rsid w:val="005E0684"/>
    <w:rsid w:val="005F1A20"/>
    <w:rsid w:val="00607F15"/>
    <w:rsid w:val="00612A23"/>
    <w:rsid w:val="00621929"/>
    <w:rsid w:val="00647F9D"/>
    <w:rsid w:val="00650C44"/>
    <w:rsid w:val="00661975"/>
    <w:rsid w:val="00674FC2"/>
    <w:rsid w:val="006A1B18"/>
    <w:rsid w:val="006B4AB8"/>
    <w:rsid w:val="006D0DCB"/>
    <w:rsid w:val="006D528E"/>
    <w:rsid w:val="006E3E12"/>
    <w:rsid w:val="006E5015"/>
    <w:rsid w:val="006E6916"/>
    <w:rsid w:val="006F6185"/>
    <w:rsid w:val="00720936"/>
    <w:rsid w:val="00734CB7"/>
    <w:rsid w:val="007374C9"/>
    <w:rsid w:val="00742E83"/>
    <w:rsid w:val="0075027D"/>
    <w:rsid w:val="007531C6"/>
    <w:rsid w:val="00754CA7"/>
    <w:rsid w:val="00760895"/>
    <w:rsid w:val="00784B1F"/>
    <w:rsid w:val="007854EB"/>
    <w:rsid w:val="007972CC"/>
    <w:rsid w:val="007A352A"/>
    <w:rsid w:val="007C22E5"/>
    <w:rsid w:val="007E0CCD"/>
    <w:rsid w:val="007E55FB"/>
    <w:rsid w:val="007E574C"/>
    <w:rsid w:val="007E75F3"/>
    <w:rsid w:val="007F1793"/>
    <w:rsid w:val="007F6DE5"/>
    <w:rsid w:val="008039F1"/>
    <w:rsid w:val="0083565E"/>
    <w:rsid w:val="00835D5C"/>
    <w:rsid w:val="00894D37"/>
    <w:rsid w:val="0089615A"/>
    <w:rsid w:val="00896448"/>
    <w:rsid w:val="008B78CD"/>
    <w:rsid w:val="008C61BA"/>
    <w:rsid w:val="008D1674"/>
    <w:rsid w:val="008D5100"/>
    <w:rsid w:val="008E527F"/>
    <w:rsid w:val="008F1AE8"/>
    <w:rsid w:val="00935E42"/>
    <w:rsid w:val="00952DC7"/>
    <w:rsid w:val="00957B86"/>
    <w:rsid w:val="0096635B"/>
    <w:rsid w:val="009948D7"/>
    <w:rsid w:val="009973E8"/>
    <w:rsid w:val="009A4911"/>
    <w:rsid w:val="009B1D5A"/>
    <w:rsid w:val="009B3060"/>
    <w:rsid w:val="009D1E9C"/>
    <w:rsid w:val="009E36ED"/>
    <w:rsid w:val="00A163EF"/>
    <w:rsid w:val="00A54B42"/>
    <w:rsid w:val="00A55625"/>
    <w:rsid w:val="00A60476"/>
    <w:rsid w:val="00AA65BE"/>
    <w:rsid w:val="00AD6F14"/>
    <w:rsid w:val="00AF273B"/>
    <w:rsid w:val="00AF4EE3"/>
    <w:rsid w:val="00B03D90"/>
    <w:rsid w:val="00B22107"/>
    <w:rsid w:val="00B24FFF"/>
    <w:rsid w:val="00B3522D"/>
    <w:rsid w:val="00B5047D"/>
    <w:rsid w:val="00B7697E"/>
    <w:rsid w:val="00B92CED"/>
    <w:rsid w:val="00BA764D"/>
    <w:rsid w:val="00BB70E6"/>
    <w:rsid w:val="00BD264B"/>
    <w:rsid w:val="00BF5FB5"/>
    <w:rsid w:val="00C21102"/>
    <w:rsid w:val="00C2450D"/>
    <w:rsid w:val="00C45565"/>
    <w:rsid w:val="00C476E9"/>
    <w:rsid w:val="00C56028"/>
    <w:rsid w:val="00C658BC"/>
    <w:rsid w:val="00C7250C"/>
    <w:rsid w:val="00C81821"/>
    <w:rsid w:val="00C8230F"/>
    <w:rsid w:val="00C8457A"/>
    <w:rsid w:val="00D5326A"/>
    <w:rsid w:val="00D57177"/>
    <w:rsid w:val="00D60E41"/>
    <w:rsid w:val="00DA1167"/>
    <w:rsid w:val="00DA20EF"/>
    <w:rsid w:val="00DA6015"/>
    <w:rsid w:val="00DB5E26"/>
    <w:rsid w:val="00DB6AF7"/>
    <w:rsid w:val="00DC66BB"/>
    <w:rsid w:val="00DE49FB"/>
    <w:rsid w:val="00DF43E1"/>
    <w:rsid w:val="00E20ACD"/>
    <w:rsid w:val="00E25554"/>
    <w:rsid w:val="00E33941"/>
    <w:rsid w:val="00E34B30"/>
    <w:rsid w:val="00E635F5"/>
    <w:rsid w:val="00E819B1"/>
    <w:rsid w:val="00E908A7"/>
    <w:rsid w:val="00E91CF4"/>
    <w:rsid w:val="00EC17FC"/>
    <w:rsid w:val="00EE088D"/>
    <w:rsid w:val="00EF7568"/>
    <w:rsid w:val="00F0313D"/>
    <w:rsid w:val="00F264B1"/>
    <w:rsid w:val="00F30E06"/>
    <w:rsid w:val="00F331B4"/>
    <w:rsid w:val="00F55A70"/>
    <w:rsid w:val="00F7170E"/>
    <w:rsid w:val="00F835DE"/>
    <w:rsid w:val="00F93D42"/>
    <w:rsid w:val="00FA5EEF"/>
    <w:rsid w:val="00FB37D0"/>
    <w:rsid w:val="00FC2FC3"/>
    <w:rsid w:val="00FD0CE9"/>
    <w:rsid w:val="00FE5A10"/>
    <w:rsid w:val="00FE685D"/>
    <w:rsid w:val="0378040F"/>
    <w:rsid w:val="06B0D3C1"/>
    <w:rsid w:val="22DA768E"/>
    <w:rsid w:val="3A4DF1F0"/>
    <w:rsid w:val="4B9AD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51C4A21C-55D9-4B8C-9314-18C6809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uiPriority w:val="22"/>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20" ma:contentTypeDescription="Create a new document." ma:contentTypeScope="" ma:versionID="769240f7719d0658dc11516b3bdd5f9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28401775ce07428e0e46b078654a7524"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3E2C861F-7DFD-4612-B2E9-9686B9DA4FD1}">
  <ds:schemaRefs>
    <ds:schemaRef ds:uri="http://schemas.microsoft.com/sharepoint/v3/contenttype/forms"/>
  </ds:schemaRefs>
</ds:datastoreItem>
</file>

<file path=customXml/itemProps3.xml><?xml version="1.0" encoding="utf-8"?>
<ds:datastoreItem xmlns:ds="http://schemas.openxmlformats.org/officeDocument/2006/customXml" ds:itemID="{E632462D-1A95-4FF6-8600-51AE54FA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2024</Template>
  <TotalTime>50</TotalTime>
  <Pages>8</Pages>
  <Words>1590</Words>
  <Characters>10104</Characters>
  <Application>Microsoft Office Word</Application>
  <DocSecurity>0</DocSecurity>
  <Lines>84</Lines>
  <Paragraphs>23</Paragraphs>
  <ScaleCrop>false</ScaleCrop>
  <Company>GPT</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Karen Patio</cp:lastModifiedBy>
  <cp:revision>18</cp:revision>
  <cp:lastPrinted>2023-03-15T23:27:00Z</cp:lastPrinted>
  <dcterms:created xsi:type="dcterms:W3CDTF">2025-08-18T11:33:00Z</dcterms:created>
  <dcterms:modified xsi:type="dcterms:W3CDTF">2025-08-18T12:23:00Z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